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A6" w:rsidRDefault="009A6CA6" w:rsidP="009A6CA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54111.2-2010 Дорожные транспортные средства на топливных элементах. Требования безопасности. Часть 2. Защита от опасностей, связанных с использованием водорода, в транспортных средствах, работающих на сжатом водороде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54111.2-2010</w:t>
      </w:r>
    </w:p>
    <w:p w:rsidR="009A6CA6" w:rsidRDefault="009A6CA6" w:rsidP="009A6CA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НАЦИОНАЛЬНЫЙ СТАНДАРТ РОССИЙСКОЙ ФЕДЕРАЦИИ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9A6CA6" w:rsidRDefault="009A6CA6" w:rsidP="009A6CA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ДОРОЖНЫЕ ТРАНСПОРТНЫЕ СРЕДСТВА НА ТОПЛИВНЫХ ЭЛЕМЕНТАХ</w:t>
      </w:r>
    </w:p>
    <w:p w:rsidR="009A6CA6" w:rsidRDefault="009A6CA6" w:rsidP="009A6CA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Требования безопасности</w:t>
      </w:r>
    </w:p>
    <w:p w:rsidR="009A6CA6" w:rsidRDefault="009A6CA6" w:rsidP="009A6CA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Часть 2</w:t>
      </w:r>
    </w:p>
    <w:p w:rsidR="009A6CA6" w:rsidRDefault="009A6CA6" w:rsidP="009A6CA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Защита от опасностей, связанных с использованием водорода, в транспортных средствах, работающих на сжатом водороде</w:t>
      </w:r>
    </w:p>
    <w:p w:rsidR="009A6CA6" w:rsidRPr="009A6CA6" w:rsidRDefault="009A6CA6" w:rsidP="009A6CA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9A6CA6">
        <w:rPr>
          <w:rFonts w:ascii="Arial" w:hAnsi="Arial" w:cs="Arial"/>
          <w:color w:val="3C3C3C"/>
          <w:spacing w:val="1"/>
          <w:sz w:val="22"/>
          <w:szCs w:val="22"/>
          <w:lang w:val="en-US"/>
        </w:rPr>
        <w:t>Fuel cell road vehicles.</w:t>
      </w:r>
      <w:proofErr w:type="gramEnd"/>
      <w:r w:rsidRPr="009A6CA6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gramStart"/>
      <w:r w:rsidRPr="009A6CA6">
        <w:rPr>
          <w:rFonts w:ascii="Arial" w:hAnsi="Arial" w:cs="Arial"/>
          <w:color w:val="3C3C3C"/>
          <w:spacing w:val="1"/>
          <w:sz w:val="22"/>
          <w:szCs w:val="22"/>
          <w:lang w:val="en-US"/>
        </w:rPr>
        <w:t>Safety specifications.</w:t>
      </w:r>
      <w:proofErr w:type="gramEnd"/>
      <w:r w:rsidRPr="009A6CA6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gramStart"/>
      <w:r w:rsidRPr="009A6CA6">
        <w:rPr>
          <w:rFonts w:ascii="Arial" w:hAnsi="Arial" w:cs="Arial"/>
          <w:color w:val="3C3C3C"/>
          <w:spacing w:val="1"/>
          <w:sz w:val="22"/>
          <w:szCs w:val="22"/>
          <w:lang w:val="en-US"/>
        </w:rPr>
        <w:t>Part 2.</w:t>
      </w:r>
      <w:proofErr w:type="gramEnd"/>
      <w:r w:rsidRPr="009A6CA6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Protection against hydrogen hazards for vehicles fuelled with compressed hydrogen</w:t>
      </w:r>
    </w:p>
    <w:p w:rsidR="009A6CA6" w:rsidRP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ОКС 27.070*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45 0000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В ИУС 12-2011 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54111.2-2010 приводится с ОКС 27.075. -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изготовителя базы данных.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2011-07-01</w:t>
      </w:r>
    </w:p>
    <w:p w:rsidR="009A6CA6" w:rsidRDefault="009A6CA6" w:rsidP="009A6CA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Цели и принципы стандартизации в Российской Федерации установлены </w:t>
      </w:r>
      <w:r w:rsidRPr="009A6CA6">
        <w:rPr>
          <w:rFonts w:ascii="Arial" w:hAnsi="Arial" w:cs="Arial"/>
          <w:color w:val="2D2D2D"/>
          <w:spacing w:val="1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правила применения национальных стандартов Российской Федерации - </w:t>
      </w:r>
      <w:r w:rsidRPr="009A6CA6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A6CA6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A6CA6">
        <w:rPr>
          <w:rFonts w:ascii="Arial" w:hAnsi="Arial" w:cs="Arial"/>
          <w:color w:val="2D2D2D"/>
          <w:spacing w:val="1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ПОДГОТОВЛЕН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Некоммерческим партнерством "Национальная ассоциация водородной энергетики" (НП НАВЭ)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Техническим комитетом по стандартизации N 29 "Водородные технологии"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УТВЕРЖДЕН И ВВЕДЕН В ДЕЙСТВИЕ </w:t>
      </w:r>
      <w:r w:rsidRPr="009A6CA6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21 декабря 2010 г. N 806-ст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настоящем стандарте учтены соответствующие положения международного стандарта ИСО 23273-2:2006* "Дорожные транспортные средства на топливных элементах. Требования безопасности. Часть 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Защита от опасностей при работе транспортных средств на сжатом водороде" (ISO 23273-2:2006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Fuel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cell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road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vehicles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Safety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specifications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Part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2: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Protection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against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hydrogen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hazards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for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vehicles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fuelled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with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compressed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hydrogen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Доступ к международным и зарубежным документам, упомянутым здесь и далее по тексту, можно получить, перейдя по </w:t>
      </w:r>
      <w:r w:rsidRPr="009A6CA6">
        <w:rPr>
          <w:rFonts w:ascii="Arial" w:hAnsi="Arial" w:cs="Arial"/>
          <w:color w:val="2D2D2D"/>
          <w:spacing w:val="1"/>
          <w:sz w:val="15"/>
          <w:szCs w:val="15"/>
        </w:rPr>
        <w:t>ссылке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Настоящий стандарт распространяется на дорожные транспортные средства на топливных элементах (ТСТЭ), в которых используется в качестве топлива сжатый водород.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 устанавливает основные требования для транспортных средств на топливных элементах (ТСТЭ) в отношении опасности для людей и окружающей среды внутри и вне транспортного средства, связанной с использованием водорода.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Стандарт распространяется только на ТСТЭ,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которых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качестве топлива для системы топливных элементов используется сжатый водород.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 не применяется к производству, техническому обслуживанию и ремонту транспортных средств.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 распространяются как на безотказную работу транспортных средств, так и на работу с единичными отказами.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A6CA6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A6CA6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A6CA6">
        <w:rPr>
          <w:rFonts w:ascii="Arial" w:hAnsi="Arial" w:cs="Arial"/>
          <w:color w:val="2D2D2D"/>
          <w:spacing w:val="1"/>
          <w:sz w:val="15"/>
          <w:szCs w:val="15"/>
        </w:rPr>
        <w:t xml:space="preserve"> 54111.1-2010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Дорожные транспортные средства на топливных элементах. Требования безопасности. Часть 1. Функциональная безопасность транспортного средства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A6CA6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A6CA6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A6CA6">
        <w:rPr>
          <w:rFonts w:ascii="Arial" w:hAnsi="Arial" w:cs="Arial"/>
          <w:color w:val="2D2D2D"/>
          <w:spacing w:val="1"/>
          <w:sz w:val="15"/>
          <w:szCs w:val="15"/>
        </w:rPr>
        <w:t xml:space="preserve"> 54113-2010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Соединительные устройства для многократной заправки сжатым водородом наземных транспортных средств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настоящими рекомендациями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настоящем стандарте используются следующие термины и определения: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система подготовки воздуха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air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processing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system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Система, которая подготавливает (т.е. фильтрует, измеряет, обрабатывает, компримирует и др.) входящий воздух для системы топливных элементов.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примеси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contaminant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Вещества в неочищенном топливе, такие как сера, которые при достижении или превышении установленного уровня концентрации могут отравлять катализатор.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шасси электрическое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electric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chassis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Токопроводящая механическая структура транспортного средства, включающая все взаимодействующие электрические и электронные компоненты, чьи части соединены электрически и чей потенциал принят за начало отсчета.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клапан ограничительный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excess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flow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valve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Клапан, который автоматически перекрывает или ограничивает расход газа, когда расход превышает заданное расчетное значение.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топливный элемент, ТЭ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fuel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cell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Электрохимическое устройство, которое генерирует электричество путем преобразования топлива и окислителя без физического или химического расхода вещества электродов или электролита.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батарея топливных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fuel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cell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stack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Комплект из двух и более топливных элементов, соединенных электрически.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система топливных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fuel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cell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system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Система, которая включает следующие подсистемы: батарею топливных элементов, систему подготовки воздуха, системы подготовки топлива, регулирования температуры, регулирования подачи воды и системы их управления.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транспортное средство на топливных элементах, ТСТЭ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fuel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cell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vehicle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FCV): Транспортное средство, которое получает тяговую мощность от бортовой энергосистемы на топливных элементах.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Общий термин ТСТЭ включает также транспортные средства, в которых дополнительно используются другие источники тяговой мощности.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система подготовки топлива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fuel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processing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system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Система, которая преобразует (если необходимо) и/или перерабатывает топливо, которое содержится в расположенной на борту системе хранения топлива, в состояние, пригодное для подачи в батарею топливных элементов.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топливная система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fuel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system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Комбинация бортовой системы хранения топлива, системы подготовки топлива и батареи топливных элементов.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главный водородный запорный клапан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main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hydrogen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shut-off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valve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Клапан, предназначенный для автоматической изоляции источника водорода с высоким давлением.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максимально допустимое рабочее давление, МДРД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maximum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allowable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working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pressure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MAWP): Максимальное рабочее давление, при котором компоненты или система могут нормально работать без повреждения, в том числе без утечки и деформации.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Максимально допустимое рабочее давление используется для регулировки предохранительных/разгрузочных устройств, которые устанавливаются для защиты части или всей системы от случайного превышения давления.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рабочее давление номинальное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nominal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working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pressure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Уровень давления, при котором обычно работает компонент или система.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Для резервуаров топлива это постоянное давление при температуре, равной 15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(288 К), в полностью заправленном состоянии.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очистка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purge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Процесс удаления нежелательных компонентов газа из водородной системы.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температурное предохранительное устройство, ПУ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temperature-triggered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pressure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relief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device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PRD): Устройство одноразового действия, срабатывающее при избыточной температуре, которое отводит газ для защиты топливного резервуара от разрыва (разрушения) при стандартных испытаниях на воздействие огня.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Условия и режимы работы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Требования, изложенные в настоящем стандарте, должны соблюдаться в отношении ряда условий окружающей среды и эксплуатации, в которых данное транспортное средство может функционировать в соответствии с указаниями его производителей.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Требования к конструкции и характеристикам топливной системы</w:t>
      </w:r>
    </w:p>
    <w:p w:rsidR="009A6CA6" w:rsidRDefault="009A6CA6" w:rsidP="009A6CA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5.1 Общие положения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Топливная система состоит из секции высокого давления, внутреннее давление в которой такое же, как в топливном резервуаре, секции среднего и низкого давления, в которой внутреннее давление ниже, чем в секции высокого давления.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Топливная система должна быть оборудована: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системой защиты от огня, включающей одно или более температурных предохранительных устройств (ПУ);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главным водородным запорным клапаном, который должен быть закрыт в отсутствие напряжения на клапане и который также должен быть закрыт, когда не работает система топливных элементов транспортного средства;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системой предотвращения утечки водорода в соответствии с 5.2.4;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ограничительным клапаном или системой, осуществляющей те же функции.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5.2 Компоненты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5.2.1 Общие положения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Компоненты топливной системы должны отвечать следующим требованиям: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компоненты должны конструироваться, устанавливаться и обслуживаться таким образом, чтобы они могли безопасно функционировать при заданных производителем условиях окружающей среды и работы;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- все компоненты, используемые в секции высокого давления, должны иметь соответствующий класс давления, базирующийся на номинальном рабочем давлении;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все компоненты, используемые в секциях среднего и низкого давления, должны иметь соответствующий класс давления, базирующийся на максимально допустимом рабочем давлении. Токопроводящие корпуса компонентов в зонах возможной утечки водорода должны быть заземлены на электрическое шасси для предотвращения случайного воспламенения.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5.2.2 Топливная емкость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Топливная емкость транспортного средства должна соответствовать требованиям законодательства, если таковые имеются. В противном случае эти требования должны быть определены производителем транспортного средства. Система топливного резервуара должна быть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оборудована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меньшей мере одним температурным ПУ, расположенным вблизи водородного топливного резервуара так, чтобы водород мог быть выброшен из топливного резервуара до его разрыва (см. также 5.3).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5.2.3 Защита от превышения давления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юбые детали, расположенные в секции среднего и низкого давления, должны выдерживать или быть защищены от чрезмерного повышения давления вследствие единичного отказа ближайшего регулятора давления, расположенного выше по магистрали.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 - Для справок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[1].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5.2.4 Система предотвращения утечки водорода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Топливная система и ее управление должны обеспечивать возможность закрытия главного водородного запорного клапана и посредством этого предотвращать нежелательный выброс водорода или другие опасности, связанные с единичными отказами, согласно ИСО 23273-1.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5.3 Расположение и монтаж элементов конструкции ТСТЭ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Все элементы конструкции, соединительные трубопроводы и провода должны быть надежно установлены или зафиксированы на транспортном средстве таким образом, чтобы свести к минимуму повреждения и предотвратить утечку и/или неисправную их работу.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Компоненты должны быть расположены внутри транспортного средства для уменьшения возможности случайного повреждения, кроме компонентов, имеющих достаточную защиту, при условии, что ни одна часть компонента не выступает за пределы защитного устройства.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Топливопроводы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должны быть расположены и защищены таким образом, чтобы при нормальных условиях эксплуатации, которые определены производителем транспортного средства, они не повреждались вследствие вибрации транспортного средства.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5.4 Выбросы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Конструкция транспортного средства в отношении максимально возможных выпуска, очистки, вентиляции и др. выбросов из топливной системы, которые происходят при нормальной работе транспортного средства, должна предотвращать опасные условия, связанные с использованием водорода. Все нормальные режимы работы, включая пуск, движение, остановку и стоянку, должны учитываться этими требованиями.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Выбросы в любые отсеки транспортного средства при нормальной работе и при единичных отказах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должны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приводить ни к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каким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опасным условиям.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Выбросы транспортными средствами вредных (загрязняющих) веществ должны быть невоспламеняемыми.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 - Рекомендации по оценке транспортных средств в обычных ситуациях, таких как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движение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открытом воздухе, работа транспортного средства на холостом ходу в торговых зданиях и стоянка в гараже, приведены в [1].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Выбросы из температурного ПУ должны удаляться за пределы транспортного средства и должны быть защищены вместе со всеми трубопроводами и выпускными отверстиями так, чтобы функционирование не ухудшалось из-за газодинамического сопротивления.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Выпуск водорода из тяговых батарей не должен приводить к опасным условиям.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6 Методы испытаний для определения пожарной безопасности транспортного средства от выбросов топлива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Испытания на пожарную безопасность должны проводиться в соответствии с национальными и международными стандартами или с требованиями, установленными национальным законодательством. В случае их отсутствия методы испытаний должны быть определены производителем транспортного средства.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Дополнительный или альтернативный подход для подтверждения требований безопасности при использовании водорода</w:t>
      </w:r>
    </w:p>
    <w:p w:rsidR="009A6CA6" w:rsidRDefault="009A6CA6" w:rsidP="009A6CA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7.1 Общие положения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дополнение к требованиям раздела 5 защита людей внутри и вне транспортного средства, транспортного средства и окружающей среды от опасностей, связанных с использованием водорода, допускается по методикам, изложенным в инструкциях [2, 3].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использование этой методики вместо технических требований, указанных в разделе 5, так как технические требования этой методики являются более конкретными по отношению к конструкции отдельно взятого транспортного средства на топливных элементах.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Эта методика применяется для электронных систем транспортных средств в нескольких инструкциях [2, 3].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7.2 Компоненты и системы, связанные с использованием водорода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Компоненты и системы, предназначенные для хранения, и/или транспортировки, и/или переработки водорода, должны иметь технические условия, установленные производителем, в случае, если к ним неприменимы соответствующие технические требования, установленные национальным законодательством.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7.3 Интеграция компонентов и систем, связанных с использованием водорода в ТСТЭ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7.3.1 Нормальная (безотказная) работа водородной системы транспортного средства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Производитель транспортного средства должен предложить процесс, который при нормальном (без отказов) состоянии компонентов и систем, связанных с использованием водорода, не опасен для людей, находящихся в ТСТЭ и вблизи него, при нормальных условиях окружающей среды и работы.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7.3.2 Условия отказа в работе транспортного средства, связанные с его работой на водороде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Должен быть проведен анализ эксплуатационной безопасности, в первую очередь соединений элементов и систем, установленных в процессе сборки транспортного средства. При этом можно использовать методы анализа вида и последствий отказа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failure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mode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and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effect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analysis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FMEA), или анализа дерева отказов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fault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tree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analysis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FTA), или другой подходящий метод. Должны быть определены возможные единичные отказы аппаратных средств и программного обеспечения или условия, которые могут создавать опасность для людей, находящихся в транспортном средстве или вблизи него. На основе этого анализа должен быть составлен перечень мер, которые необходимо применять в отношении оборудования и программного обеспечения в целях предотвращения и/или устранения отказов, а также опасных для людей условий, предусмотренных настоящим стандартом, в том числе таких, которые отвечают основным требованиям безопасности и критериям, описанным в 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54111-2010 (требования безопасности).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7.4 Подтверждение концепции безопасности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Производитель транспортного средства должен провести соответствующие испытания, необходимые для подтверждения того, что принятая им концепция безопасности обеспечивает защиту от потенциальных опасностей не ниже уровня мер, предусмотренных настоящим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Требования к заправке топливом</w:t>
      </w:r>
    </w:p>
    <w:p w:rsidR="009A6CA6" w:rsidRDefault="009A6CA6" w:rsidP="009A6CA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8.1 Общие положения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Во время заправки следует отключать системы, обеспечивающие движение транспортного средства.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Рекомендации по проектированию топливных систем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в [1].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Безопасность людей на водородной заправочной станции обеспечивается в первую очередь благодаря соблюдению мер безопасности при проектировании и эксплуатации станции, включая соединения между насосом высокого давления, заправочными устройствами (заправочными переходниками) и транспортным средством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также 8.2).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8.2 Заправка топливом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Требования к заправочному узлу станции и заправочному блоку транспортного средства приведены в </w:t>
      </w:r>
      <w:r w:rsidRPr="009A6CA6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9A6CA6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9A6CA6">
        <w:rPr>
          <w:rFonts w:ascii="Arial" w:hAnsi="Arial" w:cs="Arial"/>
          <w:color w:val="2D2D2D"/>
          <w:spacing w:val="1"/>
          <w:sz w:val="15"/>
          <w:szCs w:val="15"/>
        </w:rPr>
        <w:t xml:space="preserve"> 54113-2010</w:t>
      </w:r>
      <w:r>
        <w:rPr>
          <w:rFonts w:ascii="Arial" w:hAnsi="Arial" w:cs="Arial"/>
          <w:color w:val="2D2D2D"/>
          <w:spacing w:val="1"/>
          <w:sz w:val="15"/>
          <w:szCs w:val="15"/>
        </w:rPr>
        <w:t>. Заправочный узел станции и заправочный блок транспортного средства должны быть оснащены предохранительными колпаками для предотвращения попадания пыли, жидкости, загрязняющих веществ и т.д.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Расположение устройства для приема топлива на транспортном средстве должно быть спроектировано так, чтобы предотвратить накапливание горючих газов и доступ инородного материала. Оно должно располагаться в соответствующем месте для обеспечения безопасной работы. Предпочтительной является боковая сторона транспортного средства.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Следует принять меры для предотвращения электростатических разрядов в заправочном блоке транспортного средства.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Заправочный блок транспортного средства должен выдерживать нагрузку не менее 670 Н в любом направлении без нарушения его герметичности (например, в случае обрыва шланга подачи топлива).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A6CA6" w:rsidRDefault="009A6CA6" w:rsidP="009A6CA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p w:rsidR="009A6CA6" w:rsidRDefault="009A6CA6" w:rsidP="009A6C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 w:rsidRPr="009A6CA6">
        <w:rPr>
          <w:rFonts w:ascii="Arial" w:hAnsi="Arial" w:cs="Arial"/>
          <w:color w:val="2D2D2D"/>
          <w:spacing w:val="1"/>
          <w:sz w:val="15"/>
          <w:szCs w:val="15"/>
          <w:lang w:val="en-US"/>
        </w:rPr>
        <w:t>[1] SAE J2578, Recommended practice for general fuel cell vehicle safety</w:t>
      </w:r>
      <w:r w:rsidRPr="009A6CA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9A6CA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  <w:t>[2] United Nations ECE R13, Uniform provisions concerning the approval of vehicles of categories M, N, and O with regard to braking</w:t>
      </w:r>
      <w:r w:rsidRPr="009A6CA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9A6CA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  <w:t>[3] United Nations ECE R79, Uniform provisions concerning the approval of vehicles with regard to steering equipment</w:t>
      </w:r>
      <w:r w:rsidRPr="009A6CA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</w:p>
    <w:p w:rsidR="00E8239D" w:rsidRPr="009A6CA6" w:rsidRDefault="00E8239D" w:rsidP="009A6CA6">
      <w:pPr>
        <w:rPr>
          <w:szCs w:val="15"/>
        </w:rPr>
      </w:pPr>
    </w:p>
    <w:sectPr w:rsidR="00E8239D" w:rsidRPr="009A6CA6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37C5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3D65BB3"/>
    <w:multiLevelType w:val="multilevel"/>
    <w:tmpl w:val="61FA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52279"/>
    <w:multiLevelType w:val="multilevel"/>
    <w:tmpl w:val="4B1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8952F0"/>
    <w:multiLevelType w:val="multilevel"/>
    <w:tmpl w:val="019E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6679DD"/>
    <w:multiLevelType w:val="multilevel"/>
    <w:tmpl w:val="BB3A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C00153"/>
    <w:multiLevelType w:val="multilevel"/>
    <w:tmpl w:val="1B14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57181"/>
    <w:multiLevelType w:val="multilevel"/>
    <w:tmpl w:val="3EC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07904"/>
    <w:multiLevelType w:val="multilevel"/>
    <w:tmpl w:val="AE72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0E571E"/>
    <w:multiLevelType w:val="multilevel"/>
    <w:tmpl w:val="AB30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B337B1"/>
    <w:multiLevelType w:val="multilevel"/>
    <w:tmpl w:val="9818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D55BA"/>
    <w:multiLevelType w:val="multilevel"/>
    <w:tmpl w:val="F376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467BB"/>
    <w:multiLevelType w:val="multilevel"/>
    <w:tmpl w:val="5680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C32CD9"/>
    <w:multiLevelType w:val="multilevel"/>
    <w:tmpl w:val="595A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6682F"/>
    <w:multiLevelType w:val="multilevel"/>
    <w:tmpl w:val="4574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365E26"/>
    <w:multiLevelType w:val="multilevel"/>
    <w:tmpl w:val="493E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316CC4"/>
    <w:multiLevelType w:val="multilevel"/>
    <w:tmpl w:val="C9C4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9A3688"/>
    <w:multiLevelType w:val="multilevel"/>
    <w:tmpl w:val="794E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2879F8"/>
    <w:multiLevelType w:val="multilevel"/>
    <w:tmpl w:val="0652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6178A6"/>
    <w:multiLevelType w:val="multilevel"/>
    <w:tmpl w:val="7014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B07046"/>
    <w:multiLevelType w:val="multilevel"/>
    <w:tmpl w:val="2024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CA383D"/>
    <w:multiLevelType w:val="multilevel"/>
    <w:tmpl w:val="7A12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B26989"/>
    <w:multiLevelType w:val="multilevel"/>
    <w:tmpl w:val="10C0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976EF0"/>
    <w:multiLevelType w:val="multilevel"/>
    <w:tmpl w:val="985C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AA1644"/>
    <w:multiLevelType w:val="multilevel"/>
    <w:tmpl w:val="A956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A41FE1"/>
    <w:multiLevelType w:val="multilevel"/>
    <w:tmpl w:val="3F0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8"/>
  </w:num>
  <w:num w:numId="3">
    <w:abstractNumId w:val="39"/>
  </w:num>
  <w:num w:numId="4">
    <w:abstractNumId w:val="6"/>
  </w:num>
  <w:num w:numId="5">
    <w:abstractNumId w:val="28"/>
  </w:num>
  <w:num w:numId="6">
    <w:abstractNumId w:val="20"/>
  </w:num>
  <w:num w:numId="7">
    <w:abstractNumId w:val="19"/>
  </w:num>
  <w:num w:numId="8">
    <w:abstractNumId w:val="7"/>
  </w:num>
  <w:num w:numId="9">
    <w:abstractNumId w:val="33"/>
  </w:num>
  <w:num w:numId="10">
    <w:abstractNumId w:val="13"/>
  </w:num>
  <w:num w:numId="11">
    <w:abstractNumId w:val="14"/>
  </w:num>
  <w:num w:numId="12">
    <w:abstractNumId w:val="16"/>
  </w:num>
  <w:num w:numId="13">
    <w:abstractNumId w:val="32"/>
  </w:num>
  <w:num w:numId="14">
    <w:abstractNumId w:val="15"/>
  </w:num>
  <w:num w:numId="15">
    <w:abstractNumId w:val="4"/>
  </w:num>
  <w:num w:numId="16">
    <w:abstractNumId w:val="36"/>
  </w:num>
  <w:num w:numId="17">
    <w:abstractNumId w:val="0"/>
  </w:num>
  <w:num w:numId="18">
    <w:abstractNumId w:val="1"/>
  </w:num>
  <w:num w:numId="19">
    <w:abstractNumId w:val="2"/>
  </w:num>
  <w:num w:numId="20">
    <w:abstractNumId w:val="21"/>
  </w:num>
  <w:num w:numId="21">
    <w:abstractNumId w:val="31"/>
  </w:num>
  <w:num w:numId="22">
    <w:abstractNumId w:val="27"/>
  </w:num>
  <w:num w:numId="23">
    <w:abstractNumId w:val="22"/>
  </w:num>
  <w:num w:numId="24">
    <w:abstractNumId w:val="23"/>
  </w:num>
  <w:num w:numId="25">
    <w:abstractNumId w:val="29"/>
  </w:num>
  <w:num w:numId="26">
    <w:abstractNumId w:val="25"/>
  </w:num>
  <w:num w:numId="27">
    <w:abstractNumId w:val="35"/>
  </w:num>
  <w:num w:numId="28">
    <w:abstractNumId w:val="12"/>
  </w:num>
  <w:num w:numId="29">
    <w:abstractNumId w:val="24"/>
  </w:num>
  <w:num w:numId="30">
    <w:abstractNumId w:val="41"/>
  </w:num>
  <w:num w:numId="31">
    <w:abstractNumId w:val="8"/>
  </w:num>
  <w:num w:numId="32">
    <w:abstractNumId w:val="26"/>
  </w:num>
  <w:num w:numId="33">
    <w:abstractNumId w:val="10"/>
  </w:num>
  <w:num w:numId="34">
    <w:abstractNumId w:val="18"/>
  </w:num>
  <w:num w:numId="35">
    <w:abstractNumId w:val="3"/>
  </w:num>
  <w:num w:numId="36">
    <w:abstractNumId w:val="30"/>
  </w:num>
  <w:num w:numId="37">
    <w:abstractNumId w:val="9"/>
  </w:num>
  <w:num w:numId="38">
    <w:abstractNumId w:val="5"/>
  </w:num>
  <w:num w:numId="39">
    <w:abstractNumId w:val="40"/>
  </w:num>
  <w:num w:numId="40">
    <w:abstractNumId w:val="11"/>
  </w:num>
  <w:num w:numId="41">
    <w:abstractNumId w:val="34"/>
  </w:num>
  <w:num w:numId="42">
    <w:abstractNumId w:val="37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37C5F"/>
    <w:rsid w:val="002D3ACA"/>
    <w:rsid w:val="00313072"/>
    <w:rsid w:val="00362C0C"/>
    <w:rsid w:val="00375D4A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9A6CA6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E8239D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838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524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026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3092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957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561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806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88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79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01552608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26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6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1760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736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9162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9928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2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1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419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89001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917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424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34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2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879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425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69098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22877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278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698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4972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2437574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3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8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29983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021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366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92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672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568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624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756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45856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1057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068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759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0784611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0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83093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900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69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2017-08-07T11:56:00Z</dcterms:created>
  <dcterms:modified xsi:type="dcterms:W3CDTF">2017-08-07T11:56:00Z</dcterms:modified>
</cp:coreProperties>
</file>