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B" w:rsidRDefault="00B2767B" w:rsidP="00B276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53777-2010 Лигатуры алюминиевые. Технические условия (с Изменением N 1)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53777-2010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B2767B" w:rsidRDefault="00B2767B" w:rsidP="00B276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B2767B" w:rsidRDefault="00B2767B" w:rsidP="00B276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ЛИГАТУРЫ АЛЮМИНИЕВЫЕ</w:t>
      </w:r>
    </w:p>
    <w:p w:rsidR="00B2767B" w:rsidRDefault="00B2767B" w:rsidP="00B276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B2767B" w:rsidRDefault="00B2767B" w:rsidP="00B276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Master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alloys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of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aluminium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77.120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1224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2010-07-01</w:t>
      </w:r>
    </w:p>
    <w:p w:rsidR="00B2767B" w:rsidRDefault="00B2767B" w:rsidP="00B276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276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2767B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Техническим комитетом по стандартизации ТК 297 "Материалы и полуфабрикаты из легких и специальных сплавов" (ОАО "Всероссийский институт легких сплавов")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 ООО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Интермикс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297 "Материалы и полуфабрикаты из легких и специальных сплавов"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25 марта 2010 г. N 34-ст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утвержденное и введенное в действие Приказом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30.11.2011 N 660-ст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01.09.2012 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 изготовителем базы данных по тексту ИУС N 2, 2012 год</w:t>
      </w:r>
      <w:proofErr w:type="gramEnd"/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алюминиевые лигатуры (далее - лигатуры), получаемые методом плавления и используемые в металлургической и литейной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Лигатуры предназначены для легирования и модифицирования при производстве деформируемых и литейных алюминиевых сплавов.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7727-81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алюминиевые. Методы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бора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11739.3-99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бериллия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11739.4-90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висмута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11739.5-90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ванадия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11739.6-99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11739.7-99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кремния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11739.9-90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11739.11-98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11739.12-98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марганца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11739.13-98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11739.15-99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11739.16-90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11739.18-90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11739.19-90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сурьмы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11739.20-99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 определения титана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11739.21-90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хрома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11739.23-99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циркония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11739.24-98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11739.25-90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алюминиевые литейные и деформируемые. Методы определения скандия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24231-80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Цветные металлы и сплавы. Общие требования к отбору и подготовке проб для химического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31340-2007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Предупредительная маркировка химической продукции.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Технические требования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Изготовление, контроль и приемку лигатур на предприятии-изготовителе проводят по техническим документам, утвержденным на предприятии-изготовителе с учетом требований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 Марки и химический состав лигатур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1. Цветовая маркировка лигатур приведена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Массовая доля элементов, указанная в таблице 1, - максимальная, если не указаны пределы.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2"/>
        <w:gridCol w:w="868"/>
        <w:gridCol w:w="805"/>
        <w:gridCol w:w="722"/>
        <w:gridCol w:w="902"/>
        <w:gridCol w:w="821"/>
        <w:gridCol w:w="728"/>
        <w:gridCol w:w="733"/>
        <w:gridCol w:w="583"/>
        <w:gridCol w:w="941"/>
        <w:gridCol w:w="747"/>
        <w:gridCol w:w="768"/>
        <w:gridCol w:w="639"/>
      </w:tblGrid>
      <w:tr w:rsidR="00B2767B" w:rsidTr="00B2767B">
        <w:trPr>
          <w:trHeight w:val="15"/>
        </w:trPr>
        <w:tc>
          <w:tcPr>
            <w:tcW w:w="1478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  <w:r>
              <w:rPr>
                <w:color w:val="2D2D2D"/>
                <w:sz w:val="15"/>
                <w:szCs w:val="15"/>
              </w:rPr>
              <w:br/>
              <w:t>лигатуры</w:t>
            </w:r>
          </w:p>
        </w:tc>
        <w:tc>
          <w:tcPr>
            <w:tcW w:w="12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2,5-3,5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3,5-4,5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4,5-5,5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AIBe5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Бериллий: 4,5-6,0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AIBi3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Висмут: 2,7-3,3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АlCa6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5,0-7,0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АlCa10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АlCo10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AICr5 (А)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AICr5 (В)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AICr20 (А)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AICr20 (В)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АlCu33 (А)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31,0-35,0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АlCu33 (В)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31,0-35,0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AICu50 (А)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47,0-53,0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AICu50 (В)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47,0-53,0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AIFe10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AIFe10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AIFe20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AIMg10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AIMg20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AIMg50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47,0-53,0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AIMn10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AIMn10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AIMn20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AIMn20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AIMn60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58,0-64,0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AIMn60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58,0-64,0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AINi10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AINi20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AIP2,5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Фосфор: 1,0-5,0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AIP2,5А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Фосфор: 1,0-5,0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AlSb10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AISc2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Скандий: 1,7-2,3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РЗЭ: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AISc2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Скандий: 1,7-2,3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РЗЭ: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AISc5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Скандий: 4,7-5,3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РЗЭ: 0,01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AISc5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Скандий: 4,7-5,3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РЗЭ: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AISi20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0,06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AISi20 (В)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18,0-22,0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0,06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AISi50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47,0-53,0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0,15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AISi50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47,0-53,0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0,15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Стронций: 3,2-3,8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Стронций: 4,5-5,5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Барий: 0,05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0,05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Барий: 0,1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Фосфор: 0,01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AISr10Ti1B0,2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Стронций: 9,0-11,0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0,15-0,25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Барий: 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Кальций: 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Фосфор: 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AITi10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AITi10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9,0-11,0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AITi3B1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0,8-1,2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2,7-3,5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AITi5B0,2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0,15-0,25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0,15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AITi5B0,6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0,5-0,8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AITi5B1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0,9-1,1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0,15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AIV5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4,0-6,0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AIV10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2,0-3,0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AIZr5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4,5-5,5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AIZr5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4,5-5,5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AIZr10 (A)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AIZr10 (B)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9,0-11,0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Олово: 0,2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rPr>
                <w:sz w:val="24"/>
                <w:szCs w:val="24"/>
              </w:rPr>
            </w:pPr>
          </w:p>
        </w:tc>
      </w:tr>
      <w:tr w:rsidR="00B2767B" w:rsidTr="00B2767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13,5-16,0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2767B" w:rsidTr="00B2767B">
        <w:tc>
          <w:tcPr>
            <w:tcW w:w="13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графу "Другие элементы" включены элементы: барий, бериллий, бор, ванадий, висмут, кальций, кобальт, олово, скандий, стронций, сурьма, цирконий, фосфор, фтор, редкоземельные элементы (РЗЭ), которые должны быть проанализированы в установленном порядке.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В графу "Прочие элементы" ("Сумма") включены все элементы, массовая доля которых равна или более 0,01% каждого из элементов в отдельности. Прочие элементы не определяются, а гарантируются предприятием - изготовителем лигатур.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лигатурах, кроме лигатуры марки AIZr10 (В), максимальное содержание олова не должно превышать 0,02%.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4 Предприятие-изготовитель гарантирует в лигатурах содержание суммы </w:t>
            </w:r>
            <w:proofErr w:type="spellStart"/>
            <w:r>
              <w:rPr>
                <w:color w:val="2D2D2D"/>
                <w:sz w:val="15"/>
                <w:szCs w:val="15"/>
              </w:rPr>
              <w:t>свинец+кадмий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Р 53777-2010 Лигатуры алюминиевые. Технические условия (с Изменением N 1)" style="width:9.65pt;height:12.35pt"/>
              </w:pict>
            </w:r>
            <w:r>
              <w:rPr>
                <w:color w:val="2D2D2D"/>
                <w:sz w:val="15"/>
                <w:szCs w:val="15"/>
              </w:rPr>
              <w:t>0,0095%, а в лигатурах, не легированных бериллием, содержание бериллия 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Р 53777-2010 Лигатуры алюминиевые. Технические условия (с Изменением N 1)" style="width:9.65pt;height:12.35pt"/>
              </w:pict>
            </w:r>
            <w:r>
              <w:rPr>
                <w:color w:val="2D2D2D"/>
                <w:sz w:val="15"/>
                <w:szCs w:val="15"/>
              </w:rPr>
              <w:t>0,0001%.</w:t>
            </w:r>
          </w:p>
        </w:tc>
      </w:tr>
    </w:tbl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B2767B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B2767B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B2767B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 Лигатуры изготовляют в виде вафельных пластин массой не более 10 кг или в виде прутка диаметром (9,5±0,5) мм, смотанного в бухту массой не более 180 кг. Лигатуру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AISc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изготовляют в виде пластин, отлитых в кокильную изложницу, с последующей обрезкой литника. Лигатуру марки AIMn60 поставляют в виде чешуек размером 1-10 мм. Некоторые лигатуры, вследствие их металлургических характеристик и состава, выпускают в виде кусков неправильной формы или разломанных вафельных пластин.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 Размеры вафельных пластин подлежат согласованию между изготовителем и потребителем лигатур. Рекомендуемые размеры вафельных пластин: 440x220x50, 500x200x50 или 300x200x50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 Поверхность вафельных пластин должна быть чистой. На поверхности не допускаются шлаковые и другие инородные включения, видимые невооруженным глазом. На поверхности допускаются следы окисных плен, следы вырубки или зачистки дефектов.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 Наличие на поверхности прутков и макрошлифе шлаковых и других инородных включений, видимых невооруженным глазом,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 Плавка должна быть идентифицирована соответствующим номером. Форма образцов и условия их отбора для химического и спектрального анализов определяются технологическими инструкциями предприятия-изготовителя. Каждый образец должен быть отобран от расплавленного металла из печи, жидкого потока, отлитой пластины или прутка после завершения процесса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Правила приемки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Лигатуры принимают партиями массой не более 1000 кг. Партия должна состоять из продукции одной марки, одного размера, одной или нескольких плавок и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предприятия-изготовителя и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потребителя;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марку продукции, вид продукции, цветовую маркировку согласно приложению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партии, номера плавок;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грузовых мест, их массы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химического анализа каждой плавки в объеме требований таблицы 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иметь печать предприятия-изготовителя и подпись руководителя службы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предприятии-изготовителе контроль лигатур осуществляют в следующем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требования к качеству поверхности на наличие дефектов - 100%;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партии - 100%;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маркировка - 100%;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качество упаковки - 100%;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химический состав лигатуры - каждая плавка.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химического и спектрального анализов хотя бы по одному из показателей по нему проводят повторный анализ на удвоенном количестве образцов, взятых от той же партии. Результаты повторного анализа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Предприятие-потребитель достоверность химического анализа лигатур, проводимого предприятием-изготовителем, определяет на отобранных образцах - двух процентах пластин, бухт от партии, но не менее чем на одной пластине, бухте каждой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Методы испытаний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Отбор, подготовка проб и хранение запасных проб для определения химического состава лигатур - в соответствии с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Допускается отбор стружки для химического анализа проводить методом фрезерования торцевой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темплета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отрезанного на расстоянии одной четвертой длины вафельной пластины.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химического состава лигатур, изготовляемых в виде прутка диаметром 9,5 мм, смотанного в бухту, отбирают образцы длиной до 300 мм от бухты. Из этих образцов на токарном станке отбирают стружку, далее - в соответствии с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Химический состав лигатур определяют по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7727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11739.15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11739.23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11739.25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по методикам предприятий-изготовителей, согласованным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Качество поверхности продукции проверяют осмотром без применения увеличительных приборов, массу определяют взвешиванием на механических или электронных весах, обеспечивающих необходимую точность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проведения химического анализа лигатур в виде пластин отбирают образцы толщиной 20 мм в поперечном сечении с противоположных концов фрагмента.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Маркировка, упаковка, транспортирование и хранение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каждую пластину и бухту лигатур с двух противоположных торцевых сторон несмываемой краской должна быть нанесена цветовая маркировка полосой или полосами шириной от 10 до 15 мм каждая в соответствии с приложением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каждую пластину лигатур должна быть нанесена маркировка несмываемой краской с указанием номера плавки. Допускается маркировка металлическим клеймом. Высота цифр составляет не менее 15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Маркировка лигатур должна быть нанесена на ярлык, прикрепленный к упаковке блока или бухте, и содержать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предприятия-изготовителя и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марку продукции, вид продукции, цветовую маркировку;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массы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химического анализа каждой плавки в объеме требований таблицы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 Пластины лигатур поставляют партиями, упакованными в блоки, на деревянных поддонах. Бухты лигатур в виде прутка поставляют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упакованными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2-3 бухты на деревянных поддонах. Бухту сматывают одним жгутом (отрезком) прутка. Блоки пластин или бухты лигатур крепят лентой к деревянным поддонам и упаковывают в полиэтиленовую пленку для защиты от попадания влаги.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Упаковка пластин или бухт должна обеспечивать их сохранность при транспортировании и не должна разрушаться при погрузке, перегрузке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6.6 Чешуйчатую лигатуру марки АlМn60 поставляют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биг-бегах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500 или 1000 кг, прикрепляя ярлык с маркировкой согласно 6.3.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 Транспортирование лигатур осуществляют всеми видами транспорта в крытых транспортных средствах.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 Лигатуры должны храниться в крытых сухих помещениях в условиях, исключающих попадание на нее влаги и активных химических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маркировке лигатур следует учитывать требования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31340</w:t>
      </w:r>
      <w:r>
        <w:rPr>
          <w:rFonts w:ascii="Arial" w:hAnsi="Arial" w:cs="Arial"/>
          <w:color w:val="2D2D2D"/>
          <w:spacing w:val="1"/>
          <w:sz w:val="15"/>
          <w:szCs w:val="15"/>
        </w:rPr>
        <w:t> (в части предупреждения об особых рисках).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Требования безопасности и охраны окружающей среды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изготовлении лигатур алюминий-бериллий требования безопасности определяются наличием бериллия, который по степени воздействия на организм относится к первому классу опасности по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 Воздух в рабочей зоне должен соответствовать санитарно-гигиеническим требованиям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 изготовлении остальных марок лигатур согласно таблице 1 требования безопасности определяются аэрозолями алюминия преимущественно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фиброгенного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действия, которые по степени воздействия на организм относятся к третьей степени опасности по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 Воздух в рабочей зоне должен соответствовать санитарно-гигиеническим требованиям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условиям транспортирования и хранения лигатуры всех марок относят к 9-му классу опасности категории 923 по </w:t>
      </w:r>
      <w:r w:rsidRPr="00B2767B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Гарантии предприятия-изготовителя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Предприятие-изготовитель гарантирует соответствие лигатур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Гарантийный срок хранения лигатур - 10 лет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2767B" w:rsidRDefault="00B2767B" w:rsidP="00B276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(обязательное). Цветовая маркировка лигатур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1"/>
        <w:gridCol w:w="7558"/>
      </w:tblGrid>
      <w:tr w:rsidR="00B2767B" w:rsidTr="00B2767B">
        <w:trPr>
          <w:trHeight w:val="15"/>
        </w:trPr>
        <w:tc>
          <w:tcPr>
            <w:tcW w:w="3142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B2767B" w:rsidRDefault="00B2767B">
            <w:pPr>
              <w:rPr>
                <w:sz w:val="2"/>
                <w:szCs w:val="24"/>
              </w:rPr>
            </w:pP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лигатуры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Цветовая маркировка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AIB3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желтая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AIB4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желтые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желтые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AIBe5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серая и одна оранжевая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AIBi3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желтая и одна фиолетовая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АlCa6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голубая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АlCa10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оранжевая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АlCo10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оранжевая и одна светло-голубая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AICr5 (А)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фиолетовая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AICr5 (В)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фиолетовая и одна серая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АlCr10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фиолетовые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AICr20 (А)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фиолетовые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AICr20 (В)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фиолетовые и одна серая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АlCu33 (А)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оранжевые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АlCu33 (В)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оранжевые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АlCu50 (А)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оранжевые и одна красная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АlCu50 (В)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оранжевые и одна белая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AIFe10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черная и одна коричневая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AIFe10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черная и одна зеленая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AIFe20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черная и одна оранжевая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AIMg10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черная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AIMg20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фиолетовая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AIMg50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две фиолетовые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AIMn10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коричневая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AIMn10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коричневая и одна белая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AIMn20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коричневые и одна белая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AIMn20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коричневые и одна оранжевая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AIMn60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коричневые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AIMn60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коричневые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AINi10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серая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AINi20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серые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AIP2,5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красная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AIP2,5А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две красные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AlSb10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желтая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AISc2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золотистая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AISc2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золотистые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AISc5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золотистые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AISc5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Четыре золотистые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AISi20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AISi20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белая и одна зеленая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AISi50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Три белые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AISi50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белые и одна красная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AISr3,5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светло-голубая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светло-голубая и одна желтая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светло-голубые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AISr10Ti1B0,2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светло-голубая и одна красная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AITi2,5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красные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красная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AITi10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красная и одна черная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AITi10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красная и одна зеленая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AITi3B1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зеленая и одна коричневая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AITi5B0,2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зеленая и одна черная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AITi5B0,6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зеленая и одна желтая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AITi5B1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зеленая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AIV5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черная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AIV10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черные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AIZr2,5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темно-синяя и одна оранжевая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AIZr5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темно-синяя полоса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AIZr5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темно-синяя и одна красная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AIZr10 (A)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темно-синие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AIZr10 (B)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Две темно-синие и одна красная полосы</w:t>
            </w:r>
          </w:p>
        </w:tc>
      </w:tr>
      <w:tr w:rsidR="00B2767B" w:rsidTr="00B276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AIZr15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67B" w:rsidRDefault="00B276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Одна темно-синяя и одна зеленая полосы</w:t>
            </w:r>
          </w:p>
        </w:tc>
      </w:tr>
    </w:tbl>
    <w:p w:rsidR="00B2767B" w:rsidRDefault="00B2767B" w:rsidP="00B276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B2767B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B2767B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B2767B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9725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030F43"/>
    <w:multiLevelType w:val="multilevel"/>
    <w:tmpl w:val="4C8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A4831"/>
    <w:multiLevelType w:val="multilevel"/>
    <w:tmpl w:val="9C3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51F02"/>
    <w:multiLevelType w:val="multilevel"/>
    <w:tmpl w:val="95F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B71E0"/>
    <w:multiLevelType w:val="multilevel"/>
    <w:tmpl w:val="C86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F042C"/>
    <w:multiLevelType w:val="multilevel"/>
    <w:tmpl w:val="514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A4346"/>
    <w:multiLevelType w:val="multilevel"/>
    <w:tmpl w:val="48B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52787"/>
    <w:multiLevelType w:val="multilevel"/>
    <w:tmpl w:val="3A6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A26BE"/>
    <w:multiLevelType w:val="multilevel"/>
    <w:tmpl w:val="000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6"/>
  </w:num>
  <w:num w:numId="9">
    <w:abstractNumId w:val="20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8"/>
  </w:num>
  <w:num w:numId="22">
    <w:abstractNumId w:val="25"/>
  </w:num>
  <w:num w:numId="23">
    <w:abstractNumId w:val="15"/>
  </w:num>
  <w:num w:numId="24">
    <w:abstractNumId w:val="18"/>
  </w:num>
  <w:num w:numId="25">
    <w:abstractNumId w:val="3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97259"/>
    <w:rsid w:val="007E5D19"/>
    <w:rsid w:val="008E615F"/>
    <w:rsid w:val="0095551E"/>
    <w:rsid w:val="00A716F7"/>
    <w:rsid w:val="00A9165C"/>
    <w:rsid w:val="00AA6FD4"/>
    <w:rsid w:val="00B2767B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8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8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75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5910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9584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673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74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7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5963459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370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02804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72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92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2017-08-11T13:48:00Z</dcterms:created>
  <dcterms:modified xsi:type="dcterms:W3CDTF">2017-08-11T13:48:00Z</dcterms:modified>
</cp:coreProperties>
</file>