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B0" w:rsidRDefault="00D30CB0" w:rsidP="00D30CB0">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9721-79 Порошок кобальтовый. Технические условия (с Изменениями N 1, 2, 3, 4)</w:t>
      </w:r>
    </w:p>
    <w:p w:rsidR="00D30CB0" w:rsidRDefault="00D30CB0" w:rsidP="00D30CB0">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9721-79</w:t>
      </w:r>
      <w:r>
        <w:rPr>
          <w:rFonts w:ascii="Arial" w:hAnsi="Arial" w:cs="Arial"/>
          <w:color w:val="2D2D2D"/>
          <w:spacing w:val="1"/>
          <w:sz w:val="15"/>
          <w:szCs w:val="15"/>
        </w:rPr>
        <w:br/>
      </w:r>
      <w:r>
        <w:rPr>
          <w:rFonts w:ascii="Arial" w:hAnsi="Arial" w:cs="Arial"/>
          <w:color w:val="2D2D2D"/>
          <w:spacing w:val="1"/>
          <w:sz w:val="15"/>
          <w:szCs w:val="15"/>
        </w:rPr>
        <w:br/>
        <w:t>Группа В56</w:t>
      </w:r>
    </w:p>
    <w:p w:rsidR="00D30CB0" w:rsidRDefault="00D30CB0" w:rsidP="00D30CB0">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ГОСУДАРСТВЕННЫЙ СТАНДАРТ СОЮЗА ССР</w:t>
      </w:r>
    </w:p>
    <w:p w:rsidR="00D30CB0" w:rsidRDefault="00D30CB0" w:rsidP="00D30CB0">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ПОРОШОК КОБАЛЬТОВЫЙ</w:t>
      </w:r>
    </w:p>
    <w:p w:rsidR="00D30CB0" w:rsidRDefault="00D30CB0" w:rsidP="00D30CB0">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Технические условия</w:t>
      </w:r>
    </w:p>
    <w:p w:rsidR="00D30CB0" w:rsidRPr="00D30CB0" w:rsidRDefault="00D30CB0" w:rsidP="00D30CB0">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lang w:val="en-US"/>
        </w:rPr>
      </w:pPr>
      <w:proofErr w:type="spellStart"/>
      <w:r>
        <w:rPr>
          <w:rFonts w:ascii="Arial" w:hAnsi="Arial" w:cs="Arial"/>
          <w:color w:val="3C3C3C"/>
          <w:spacing w:val="1"/>
          <w:sz w:val="22"/>
          <w:szCs w:val="22"/>
        </w:rPr>
        <w:t>Cobalt</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powder</w:t>
      </w:r>
      <w:proofErr w:type="spellEnd"/>
      <w:r>
        <w:rPr>
          <w:rFonts w:ascii="Arial" w:hAnsi="Arial" w:cs="Arial"/>
          <w:color w:val="3C3C3C"/>
          <w:spacing w:val="1"/>
          <w:sz w:val="22"/>
          <w:szCs w:val="22"/>
        </w:rPr>
        <w:t xml:space="preserve">. </w:t>
      </w:r>
      <w:r w:rsidRPr="00D30CB0">
        <w:rPr>
          <w:rFonts w:ascii="Arial" w:hAnsi="Arial" w:cs="Arial"/>
          <w:color w:val="3C3C3C"/>
          <w:spacing w:val="1"/>
          <w:sz w:val="22"/>
          <w:szCs w:val="22"/>
          <w:lang w:val="en-US"/>
        </w:rPr>
        <w:t>Technical requirements</w:t>
      </w:r>
    </w:p>
    <w:p w:rsidR="00D30CB0" w:rsidRP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lang w:val="en-US"/>
        </w:rPr>
      </w:pPr>
      <w:r w:rsidRPr="00D30CB0">
        <w:rPr>
          <w:rFonts w:ascii="Arial" w:hAnsi="Arial" w:cs="Arial"/>
          <w:color w:val="2D2D2D"/>
          <w:spacing w:val="1"/>
          <w:sz w:val="15"/>
          <w:szCs w:val="15"/>
          <w:lang w:val="en-US"/>
        </w:rPr>
        <w:br/>
      </w:r>
      <w:r w:rsidRPr="00D30CB0">
        <w:rPr>
          <w:rFonts w:ascii="Arial" w:hAnsi="Arial" w:cs="Arial"/>
          <w:color w:val="2D2D2D"/>
          <w:spacing w:val="1"/>
          <w:sz w:val="15"/>
          <w:szCs w:val="15"/>
          <w:lang w:val="en-US"/>
        </w:rPr>
        <w:br/>
      </w:r>
      <w:r>
        <w:rPr>
          <w:rFonts w:ascii="Arial" w:hAnsi="Arial" w:cs="Arial"/>
          <w:color w:val="2D2D2D"/>
          <w:spacing w:val="1"/>
          <w:sz w:val="15"/>
          <w:szCs w:val="15"/>
        </w:rPr>
        <w:t>ОКП</w:t>
      </w:r>
      <w:r w:rsidRPr="00D30CB0">
        <w:rPr>
          <w:rFonts w:ascii="Arial" w:hAnsi="Arial" w:cs="Arial"/>
          <w:color w:val="2D2D2D"/>
          <w:spacing w:val="1"/>
          <w:sz w:val="15"/>
          <w:szCs w:val="15"/>
          <w:lang w:val="en-US"/>
        </w:rPr>
        <w:t xml:space="preserve"> 17 9350</w:t>
      </w:r>
    </w:p>
    <w:p w:rsidR="00D30CB0" w:rsidRPr="00D30CB0" w:rsidRDefault="00D30CB0" w:rsidP="00D30CB0">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lang w:val="en-US"/>
        </w:rPr>
      </w:pPr>
      <w:r>
        <w:rPr>
          <w:rFonts w:ascii="Arial" w:hAnsi="Arial" w:cs="Arial"/>
          <w:color w:val="2D2D2D"/>
          <w:spacing w:val="1"/>
          <w:sz w:val="15"/>
          <w:szCs w:val="15"/>
        </w:rPr>
        <w:t>Дата</w:t>
      </w:r>
      <w:r w:rsidRPr="00D30CB0">
        <w:rPr>
          <w:rFonts w:ascii="Arial" w:hAnsi="Arial" w:cs="Arial"/>
          <w:color w:val="2D2D2D"/>
          <w:spacing w:val="1"/>
          <w:sz w:val="15"/>
          <w:szCs w:val="15"/>
          <w:lang w:val="en-US"/>
        </w:rPr>
        <w:t xml:space="preserve"> </w:t>
      </w:r>
      <w:r>
        <w:rPr>
          <w:rFonts w:ascii="Arial" w:hAnsi="Arial" w:cs="Arial"/>
          <w:color w:val="2D2D2D"/>
          <w:spacing w:val="1"/>
          <w:sz w:val="15"/>
          <w:szCs w:val="15"/>
        </w:rPr>
        <w:t>введения</w:t>
      </w:r>
      <w:r w:rsidRPr="00D30CB0">
        <w:rPr>
          <w:rFonts w:ascii="Arial" w:hAnsi="Arial" w:cs="Arial"/>
          <w:color w:val="2D2D2D"/>
          <w:spacing w:val="1"/>
          <w:sz w:val="15"/>
          <w:szCs w:val="15"/>
          <w:lang w:val="en-US"/>
        </w:rPr>
        <w:t xml:space="preserve"> 1981-01-01</w:t>
      </w:r>
    </w:p>
    <w:p w:rsidR="00D30CB0" w:rsidRDefault="00D30CB0" w:rsidP="00D30CB0">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sidRPr="00D30CB0">
        <w:rPr>
          <w:rFonts w:ascii="Arial" w:hAnsi="Arial" w:cs="Arial"/>
          <w:color w:val="3C3C3C"/>
          <w:spacing w:val="1"/>
          <w:sz w:val="22"/>
          <w:szCs w:val="22"/>
          <w:lang w:val="en-US"/>
        </w:rPr>
        <w:t>     </w:t>
      </w:r>
      <w:r w:rsidRPr="00D30CB0">
        <w:rPr>
          <w:rFonts w:ascii="Arial" w:hAnsi="Arial" w:cs="Arial"/>
          <w:color w:val="3C3C3C"/>
          <w:spacing w:val="1"/>
          <w:sz w:val="22"/>
          <w:szCs w:val="22"/>
        </w:rPr>
        <w:br/>
      </w:r>
      <w:r w:rsidRPr="00D30CB0">
        <w:rPr>
          <w:rFonts w:ascii="Arial" w:hAnsi="Arial" w:cs="Arial"/>
          <w:color w:val="3C3C3C"/>
          <w:spacing w:val="1"/>
          <w:sz w:val="22"/>
          <w:szCs w:val="22"/>
          <w:lang w:val="en-US"/>
        </w:rPr>
        <w:t>     </w:t>
      </w:r>
      <w:r w:rsidRPr="00D30CB0">
        <w:rPr>
          <w:rFonts w:ascii="Arial" w:hAnsi="Arial" w:cs="Arial"/>
          <w:color w:val="3C3C3C"/>
          <w:spacing w:val="1"/>
          <w:sz w:val="22"/>
          <w:szCs w:val="22"/>
        </w:rPr>
        <w:br/>
      </w:r>
      <w:r>
        <w:rPr>
          <w:rFonts w:ascii="Arial" w:hAnsi="Arial" w:cs="Arial"/>
          <w:color w:val="3C3C3C"/>
          <w:spacing w:val="1"/>
          <w:sz w:val="22"/>
          <w:szCs w:val="22"/>
        </w:rPr>
        <w:t>ИНФОРМАЦИОННЫЕ ДАННЫЕ</w:t>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И ВНЕСЕН Министерством цветной металлургии СССР</w:t>
      </w:r>
      <w:r>
        <w:rPr>
          <w:rFonts w:ascii="Arial" w:hAnsi="Arial" w:cs="Arial"/>
          <w:color w:val="2D2D2D"/>
          <w:spacing w:val="1"/>
          <w:sz w:val="15"/>
          <w:szCs w:val="15"/>
        </w:rPr>
        <w:br/>
      </w:r>
      <w:r>
        <w:rPr>
          <w:rFonts w:ascii="Arial" w:hAnsi="Arial" w:cs="Arial"/>
          <w:color w:val="2D2D2D"/>
          <w:spacing w:val="1"/>
          <w:sz w:val="15"/>
          <w:szCs w:val="15"/>
        </w:rPr>
        <w:br/>
        <w:t>РАЗРАБОТЧИКИ</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Р.С.Майзлиш</w:t>
      </w:r>
      <w:proofErr w:type="spellEnd"/>
      <w:r>
        <w:rPr>
          <w:rFonts w:ascii="Arial" w:hAnsi="Arial" w:cs="Arial"/>
          <w:color w:val="2D2D2D"/>
          <w:spacing w:val="1"/>
          <w:sz w:val="15"/>
          <w:szCs w:val="15"/>
        </w:rPr>
        <w:t xml:space="preserve">, канд. </w:t>
      </w:r>
      <w:proofErr w:type="spellStart"/>
      <w:r>
        <w:rPr>
          <w:rFonts w:ascii="Arial" w:hAnsi="Arial" w:cs="Arial"/>
          <w:color w:val="2D2D2D"/>
          <w:spacing w:val="1"/>
          <w:sz w:val="15"/>
          <w:szCs w:val="15"/>
        </w:rPr>
        <w:t>техн</w:t>
      </w:r>
      <w:proofErr w:type="spellEnd"/>
      <w:r>
        <w:rPr>
          <w:rFonts w:ascii="Arial" w:hAnsi="Arial" w:cs="Arial"/>
          <w:color w:val="2D2D2D"/>
          <w:spacing w:val="1"/>
          <w:sz w:val="15"/>
          <w:szCs w:val="15"/>
        </w:rPr>
        <w:t>. наук; А.И.Верещагина, В.Л.Кремнев</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УТВЕРЖДЕН И ВВЕДЕН В ДЕЙСТВИЕ Постановлением Государственного комитета СССР по стандартам от 19.06.79 N 2173</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ВЗАМЕН ГОСТ 9721-71</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ССЫЛОЧНЫЕ ИНФОРМАЦИОННО-ТЕХНИЧЕСКИЕ ДОКУМЕНТЫ</w:t>
      </w:r>
      <w:r>
        <w:rPr>
          <w:rFonts w:ascii="Arial" w:hAnsi="Arial" w:cs="Arial"/>
          <w:color w:val="2D2D2D"/>
          <w:spacing w:val="1"/>
          <w:sz w:val="15"/>
          <w:szCs w:val="15"/>
        </w:rPr>
        <w:br/>
      </w:r>
    </w:p>
    <w:tbl>
      <w:tblPr>
        <w:tblW w:w="0" w:type="auto"/>
        <w:tblCellMar>
          <w:left w:w="0" w:type="dxa"/>
          <w:right w:w="0" w:type="dxa"/>
        </w:tblCellMar>
        <w:tblLook w:val="04A0"/>
      </w:tblPr>
      <w:tblGrid>
        <w:gridCol w:w="5544"/>
        <w:gridCol w:w="4250"/>
      </w:tblGrid>
      <w:tr w:rsidR="00D30CB0" w:rsidTr="00D30CB0">
        <w:trPr>
          <w:trHeight w:val="15"/>
        </w:trPr>
        <w:tc>
          <w:tcPr>
            <w:tcW w:w="5544" w:type="dxa"/>
            <w:hideMark/>
          </w:tcPr>
          <w:p w:rsidR="00D30CB0" w:rsidRDefault="00D30CB0">
            <w:pPr>
              <w:rPr>
                <w:sz w:val="2"/>
                <w:szCs w:val="24"/>
              </w:rPr>
            </w:pPr>
          </w:p>
        </w:tc>
        <w:tc>
          <w:tcPr>
            <w:tcW w:w="4250" w:type="dxa"/>
            <w:hideMark/>
          </w:tcPr>
          <w:p w:rsidR="00D30CB0" w:rsidRDefault="00D30CB0">
            <w:pPr>
              <w:rPr>
                <w:sz w:val="2"/>
                <w:szCs w:val="24"/>
              </w:rPr>
            </w:pPr>
          </w:p>
        </w:tc>
      </w:tr>
      <w:tr w:rsidR="00D30CB0" w:rsidTr="00D30CB0">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подпункта</w:t>
            </w:r>
          </w:p>
        </w:tc>
      </w:tr>
      <w:tr w:rsidR="00D30CB0" w:rsidTr="00D30CB0">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sidRPr="00D30CB0">
              <w:rPr>
                <w:color w:val="2D2D2D"/>
                <w:sz w:val="15"/>
                <w:szCs w:val="15"/>
              </w:rPr>
              <w:t>ГОСТ 12.1.005-88</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sidRPr="00D30CB0">
              <w:rPr>
                <w:color w:val="2D2D2D"/>
                <w:sz w:val="15"/>
                <w:szCs w:val="15"/>
              </w:rPr>
              <w:t>ГОСТ 12.1.007-76</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sidRPr="00D30CB0">
              <w:rPr>
                <w:color w:val="2D2D2D"/>
                <w:sz w:val="15"/>
                <w:szCs w:val="15"/>
              </w:rPr>
              <w:t>ГОСТ 503-81</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ГОСТ 741.1-80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4.2.2</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ГОСТ 741.3-80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sidRPr="00D30CB0">
              <w:rPr>
                <w:color w:val="2D2D2D"/>
                <w:sz w:val="15"/>
                <w:szCs w:val="15"/>
              </w:rPr>
              <w:t>ГОСТ 2991-85</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sidRPr="00D30CB0">
              <w:rPr>
                <w:color w:val="2D2D2D"/>
                <w:sz w:val="15"/>
                <w:szCs w:val="15"/>
              </w:rPr>
              <w:t>ГОСТ 3560-73</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sidRPr="00D30CB0">
              <w:rPr>
                <w:color w:val="2D2D2D"/>
                <w:sz w:val="15"/>
                <w:szCs w:val="15"/>
              </w:rPr>
              <w:t>ГОСТ 5556-81</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4.2.3</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sidRPr="00D30CB0">
              <w:rPr>
                <w:color w:val="2D2D2D"/>
                <w:sz w:val="15"/>
                <w:szCs w:val="15"/>
              </w:rPr>
              <w:t>ГОСТ 6613-86</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ГОСТ 6128-75</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ГОСТ 8776-79</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sidRPr="00D30CB0">
              <w:rPr>
                <w:color w:val="2D2D2D"/>
                <w:sz w:val="15"/>
                <w:szCs w:val="15"/>
              </w:rPr>
              <w:t>ГОСТ 10727-91</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4.2.3</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sidRPr="00D30CB0">
              <w:rPr>
                <w:color w:val="2D2D2D"/>
                <w:sz w:val="15"/>
                <w:szCs w:val="15"/>
              </w:rPr>
              <w:t>ГОСТ 14192-96</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sidRPr="00D30CB0">
              <w:rPr>
                <w:color w:val="2D2D2D"/>
                <w:sz w:val="15"/>
                <w:szCs w:val="15"/>
              </w:rPr>
              <w:t>ГОСТ 15846-79</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sidRPr="00D30CB0">
              <w:rPr>
                <w:color w:val="2D2D2D"/>
                <w:sz w:val="15"/>
                <w:szCs w:val="15"/>
              </w:rPr>
              <w:t>ГОСТ 18318-94</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sidRPr="00D30CB0">
              <w:rPr>
                <w:color w:val="2D2D2D"/>
                <w:sz w:val="15"/>
                <w:szCs w:val="15"/>
              </w:rPr>
              <w:t>ГОСТ 19433-88</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sidRPr="00D30CB0">
              <w:rPr>
                <w:color w:val="2D2D2D"/>
                <w:sz w:val="15"/>
                <w:szCs w:val="15"/>
              </w:rPr>
              <w:t>ГОСТ 19440-94</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4.2.3</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sidRPr="00D30CB0">
              <w:rPr>
                <w:color w:val="2D2D2D"/>
                <w:sz w:val="15"/>
                <w:szCs w:val="15"/>
              </w:rPr>
              <w:t>ГОСТ 20461-75</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4.2.3</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sidRPr="00D30CB0">
              <w:rPr>
                <w:color w:val="2D2D2D"/>
                <w:sz w:val="15"/>
                <w:szCs w:val="15"/>
              </w:rPr>
              <w:t>ГОСТ 21140-88</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sidRPr="00D30CB0">
              <w:rPr>
                <w:color w:val="2D2D2D"/>
                <w:sz w:val="15"/>
                <w:szCs w:val="15"/>
              </w:rPr>
              <w:t>ГОСТ 21241-89</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4.2.3</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ГОСТ 23148-78</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4.2.3</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sidRPr="00D30CB0">
              <w:rPr>
                <w:color w:val="2D2D2D"/>
                <w:sz w:val="15"/>
                <w:szCs w:val="15"/>
              </w:rPr>
              <w:t>ГОСТ 25086-87</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4.2.3</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sidRPr="00D30CB0">
              <w:rPr>
                <w:color w:val="2D2D2D"/>
                <w:sz w:val="15"/>
                <w:szCs w:val="15"/>
              </w:rPr>
              <w:t>ГОСТ 25336-82</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4.2.3</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sidRPr="00D30CB0">
              <w:rPr>
                <w:color w:val="2D2D2D"/>
                <w:sz w:val="15"/>
                <w:szCs w:val="15"/>
              </w:rPr>
              <w:t>ГОСТ 29298-92</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4.2.3</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ТУ 6-09-3880-75</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4.2.3</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ТУ 6-09-4120-75</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4.2.3</w:t>
            </w:r>
          </w:p>
        </w:tc>
      </w:tr>
      <w:tr w:rsidR="00D30CB0" w:rsidTr="00D30CB0">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ТУ 16-538-322-78</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4.2.3</w:t>
            </w:r>
          </w:p>
        </w:tc>
      </w:tr>
      <w:tr w:rsidR="00D30CB0" w:rsidTr="00D30CB0">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ТУ 25-1894.003-90</w:t>
            </w: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4.2.3</w:t>
            </w:r>
          </w:p>
        </w:tc>
      </w:tr>
    </w:tbl>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ПЕРЕИЗДАНИЕ (июнь 1997 г.) с Изменениями N 1, 2, 3, 4, утвержденными в марте 1981 г., августе 1985 г., июле 1990 г., феврале 1993 г. (ИУС 6-81, 11-85, 10-90, 9-93)</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на кобальтовый порошок, изготовленный электрическим методом и предназначенный для производства изделий методами порошковой металлургии и магнитов.</w:t>
      </w:r>
      <w:r>
        <w:rPr>
          <w:rFonts w:ascii="Arial" w:hAnsi="Arial" w:cs="Arial"/>
          <w:color w:val="2D2D2D"/>
          <w:spacing w:val="1"/>
          <w:sz w:val="15"/>
          <w:szCs w:val="15"/>
        </w:rPr>
        <w:br/>
      </w:r>
      <w:r>
        <w:rPr>
          <w:rFonts w:ascii="Arial" w:hAnsi="Arial" w:cs="Arial"/>
          <w:color w:val="2D2D2D"/>
          <w:spacing w:val="1"/>
          <w:sz w:val="15"/>
          <w:szCs w:val="15"/>
        </w:rPr>
        <w:br/>
        <w:t>Стандарт не распространяется на кобальтовый порошок, получаемый восстановлением кобальтовых соединений.</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D30CB0" w:rsidRDefault="00D30CB0" w:rsidP="00D30CB0">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МАРКИ И ТЕХНИЧЕСКИЕ ТРЕБОВАНИЯ</w:t>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Кобальтовый порошок должен быть изготовлен в соответствии с требованиями настоящего стандарта по технологическому регламенту, утвержденному в установленном порядке. В зависимости от химического состава кобальтовый порошок изготовляют марки ПК-1у.</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1.2. Химический состав порошка должен соответствовать </w:t>
      </w:r>
      <w:proofErr w:type="gramStart"/>
      <w:r>
        <w:rPr>
          <w:rFonts w:ascii="Arial" w:hAnsi="Arial" w:cs="Arial"/>
          <w:color w:val="2D2D2D"/>
          <w:spacing w:val="1"/>
          <w:sz w:val="15"/>
          <w:szCs w:val="15"/>
        </w:rPr>
        <w:t>указанному</w:t>
      </w:r>
      <w:proofErr w:type="gramEnd"/>
      <w:r>
        <w:rPr>
          <w:rFonts w:ascii="Arial" w:hAnsi="Arial" w:cs="Arial"/>
          <w:color w:val="2D2D2D"/>
          <w:spacing w:val="1"/>
          <w:sz w:val="15"/>
          <w:szCs w:val="15"/>
        </w:rPr>
        <w:t xml:space="preserve"> в табл.1.</w:t>
      </w:r>
      <w:r>
        <w:rPr>
          <w:rFonts w:ascii="Arial" w:hAnsi="Arial" w:cs="Arial"/>
          <w:color w:val="2D2D2D"/>
          <w:spacing w:val="1"/>
          <w:sz w:val="15"/>
          <w:szCs w:val="15"/>
        </w:rPr>
        <w:br/>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w:t>
      </w:r>
    </w:p>
    <w:tbl>
      <w:tblPr>
        <w:tblW w:w="0" w:type="auto"/>
        <w:tblCellMar>
          <w:left w:w="0" w:type="dxa"/>
          <w:right w:w="0" w:type="dxa"/>
        </w:tblCellMar>
        <w:tblLook w:val="04A0"/>
      </w:tblPr>
      <w:tblGrid>
        <w:gridCol w:w="1363"/>
        <w:gridCol w:w="1206"/>
        <w:gridCol w:w="1193"/>
        <w:gridCol w:w="1364"/>
        <w:gridCol w:w="1192"/>
        <w:gridCol w:w="1202"/>
        <w:gridCol w:w="1173"/>
        <w:gridCol w:w="1796"/>
      </w:tblGrid>
      <w:tr w:rsidR="00D30CB0" w:rsidTr="00D30CB0">
        <w:trPr>
          <w:trHeight w:val="15"/>
        </w:trPr>
        <w:tc>
          <w:tcPr>
            <w:tcW w:w="1478" w:type="dxa"/>
            <w:hideMark/>
          </w:tcPr>
          <w:p w:rsidR="00D30CB0" w:rsidRDefault="00D30CB0">
            <w:pPr>
              <w:rPr>
                <w:sz w:val="2"/>
                <w:szCs w:val="24"/>
              </w:rPr>
            </w:pPr>
          </w:p>
        </w:tc>
        <w:tc>
          <w:tcPr>
            <w:tcW w:w="1294" w:type="dxa"/>
            <w:hideMark/>
          </w:tcPr>
          <w:p w:rsidR="00D30CB0" w:rsidRDefault="00D30CB0">
            <w:pPr>
              <w:rPr>
                <w:sz w:val="2"/>
                <w:szCs w:val="24"/>
              </w:rPr>
            </w:pPr>
          </w:p>
        </w:tc>
        <w:tc>
          <w:tcPr>
            <w:tcW w:w="1294" w:type="dxa"/>
            <w:hideMark/>
          </w:tcPr>
          <w:p w:rsidR="00D30CB0" w:rsidRDefault="00D30CB0">
            <w:pPr>
              <w:rPr>
                <w:sz w:val="2"/>
                <w:szCs w:val="24"/>
              </w:rPr>
            </w:pPr>
          </w:p>
        </w:tc>
        <w:tc>
          <w:tcPr>
            <w:tcW w:w="1478" w:type="dxa"/>
            <w:hideMark/>
          </w:tcPr>
          <w:p w:rsidR="00D30CB0" w:rsidRDefault="00D30CB0">
            <w:pPr>
              <w:rPr>
                <w:sz w:val="2"/>
                <w:szCs w:val="24"/>
              </w:rPr>
            </w:pPr>
          </w:p>
        </w:tc>
        <w:tc>
          <w:tcPr>
            <w:tcW w:w="1294" w:type="dxa"/>
            <w:hideMark/>
          </w:tcPr>
          <w:p w:rsidR="00D30CB0" w:rsidRDefault="00D30CB0">
            <w:pPr>
              <w:rPr>
                <w:sz w:val="2"/>
                <w:szCs w:val="24"/>
              </w:rPr>
            </w:pPr>
          </w:p>
        </w:tc>
        <w:tc>
          <w:tcPr>
            <w:tcW w:w="1294" w:type="dxa"/>
            <w:hideMark/>
          </w:tcPr>
          <w:p w:rsidR="00D30CB0" w:rsidRDefault="00D30CB0">
            <w:pPr>
              <w:rPr>
                <w:sz w:val="2"/>
                <w:szCs w:val="24"/>
              </w:rPr>
            </w:pPr>
          </w:p>
        </w:tc>
        <w:tc>
          <w:tcPr>
            <w:tcW w:w="1294" w:type="dxa"/>
            <w:hideMark/>
          </w:tcPr>
          <w:p w:rsidR="00D30CB0" w:rsidRDefault="00D30CB0">
            <w:pPr>
              <w:rPr>
                <w:sz w:val="2"/>
                <w:szCs w:val="24"/>
              </w:rPr>
            </w:pPr>
          </w:p>
        </w:tc>
        <w:tc>
          <w:tcPr>
            <w:tcW w:w="2033" w:type="dxa"/>
            <w:hideMark/>
          </w:tcPr>
          <w:p w:rsidR="00D30CB0" w:rsidRDefault="00D30CB0">
            <w:pPr>
              <w:rPr>
                <w:sz w:val="2"/>
                <w:szCs w:val="24"/>
              </w:rPr>
            </w:pPr>
          </w:p>
        </w:tc>
      </w:tr>
      <w:tr w:rsidR="00D30CB0" w:rsidTr="00D30CB0">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порошка</w:t>
            </w:r>
          </w:p>
        </w:tc>
        <w:tc>
          <w:tcPr>
            <w:tcW w:w="7946" w:type="dxa"/>
            <w:gridSpan w:val="6"/>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Химический состав, %</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ОКП</w:t>
            </w:r>
          </w:p>
        </w:tc>
      </w:tr>
      <w:tr w:rsidR="00D30CB0" w:rsidTr="00D30CB0">
        <w:tc>
          <w:tcPr>
            <w:tcW w:w="1478" w:type="dxa"/>
            <w:tcBorders>
              <w:top w:val="nil"/>
              <w:left w:val="single" w:sz="4" w:space="0" w:color="000000"/>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Кобальт, не менее</w:t>
            </w:r>
          </w:p>
        </w:tc>
        <w:tc>
          <w:tcPr>
            <w:tcW w:w="665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Примеси, не более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p>
        </w:tc>
      </w:tr>
      <w:tr w:rsidR="00D30CB0" w:rsidTr="00D30CB0">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Железо</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Кремний</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Никель</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Углерод</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Медь</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rPr>
                <w:sz w:val="24"/>
                <w:szCs w:val="24"/>
              </w:rPr>
            </w:pPr>
          </w:p>
        </w:tc>
      </w:tr>
      <w:tr w:rsidR="00D30CB0" w:rsidTr="00D30CB0">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ПК-1у</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99,35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17 9351 0001</w:t>
            </w:r>
          </w:p>
        </w:tc>
      </w:tr>
    </w:tbl>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 4).</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1.3. </w:t>
      </w:r>
      <w:proofErr w:type="gramStart"/>
      <w:r>
        <w:rPr>
          <w:rFonts w:ascii="Arial" w:hAnsi="Arial" w:cs="Arial"/>
          <w:color w:val="2D2D2D"/>
          <w:spacing w:val="1"/>
          <w:sz w:val="15"/>
          <w:szCs w:val="15"/>
        </w:rPr>
        <w:t>Массовая доля влаги и кислорода в порошке не должна превышать: влаги - 0,15%; кислорода - 0,3%.</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4).</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 Размер частиц порошка должен быть менее 71 мкм. Допускается наличие частиц порошка размером более 71 мкм в количестве не более 4% от массы партии.</w:t>
      </w:r>
      <w:r>
        <w:rPr>
          <w:rFonts w:ascii="Arial" w:hAnsi="Arial" w:cs="Arial"/>
          <w:color w:val="2D2D2D"/>
          <w:spacing w:val="1"/>
          <w:sz w:val="15"/>
          <w:szCs w:val="15"/>
        </w:rPr>
        <w:br/>
      </w:r>
      <w:r>
        <w:rPr>
          <w:rFonts w:ascii="Arial" w:hAnsi="Arial" w:cs="Arial"/>
          <w:color w:val="2D2D2D"/>
          <w:spacing w:val="1"/>
          <w:sz w:val="15"/>
          <w:szCs w:val="15"/>
        </w:rPr>
        <w:br/>
        <w:t>Массовая доля частиц порошка размером менее 45 мкм должна составлять не менее 30% от массы партии.</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 Насыпную плотность порошка устанавливают по требованию потребителя.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D30CB0" w:rsidRDefault="00D30CB0" w:rsidP="00D30CB0">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ТРЕБОВАНИЯ БЕЗОПАСНОСТИ</w:t>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В соответствии с требованиями </w:t>
      </w:r>
      <w:r w:rsidRPr="00D30CB0">
        <w:rPr>
          <w:rFonts w:ascii="Arial" w:hAnsi="Arial" w:cs="Arial"/>
          <w:color w:val="2D2D2D"/>
          <w:spacing w:val="1"/>
          <w:sz w:val="15"/>
          <w:szCs w:val="15"/>
        </w:rPr>
        <w:t>ГОСТ 12.1.007</w:t>
      </w:r>
      <w:r>
        <w:rPr>
          <w:rFonts w:ascii="Arial" w:hAnsi="Arial" w:cs="Arial"/>
          <w:color w:val="2D2D2D"/>
          <w:spacing w:val="1"/>
          <w:sz w:val="15"/>
          <w:szCs w:val="15"/>
        </w:rPr>
        <w:t> по степени воздействия на организм человека кобальтовый порошок относят к 2-му классу опасности.</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Предельно допустимая концентрация кобальтового порошка в воздухе рабочей зоны по </w:t>
      </w:r>
      <w:r w:rsidRPr="00D30CB0">
        <w:rPr>
          <w:rFonts w:ascii="Arial" w:hAnsi="Arial" w:cs="Arial"/>
          <w:color w:val="2D2D2D"/>
          <w:spacing w:val="1"/>
          <w:sz w:val="15"/>
          <w:szCs w:val="15"/>
        </w:rPr>
        <w:t>ГОСТ 12.1.005</w:t>
      </w:r>
      <w:r>
        <w:rPr>
          <w:rFonts w:ascii="Arial" w:hAnsi="Arial" w:cs="Arial"/>
          <w:color w:val="2D2D2D"/>
          <w:spacing w:val="1"/>
          <w:sz w:val="15"/>
          <w:szCs w:val="15"/>
        </w:rPr>
        <w:t> - 0,5 мг/м</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9721-79 Порошок кобальтовы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Предельно допустимая концентрация ионов кобальта в воде - 1,0 мг/дм</w:t>
      </w:r>
      <w:r>
        <w:rPr>
          <w:rFonts w:ascii="Arial" w:hAnsi="Arial" w:cs="Arial"/>
          <w:color w:val="2D2D2D"/>
          <w:spacing w:val="1"/>
          <w:sz w:val="15"/>
          <w:szCs w:val="15"/>
        </w:rPr>
        <w:pict>
          <v:shape id="_x0000_i1028" type="#_x0000_t75" alt="ГОСТ 9721-79 Порошок кобальтовы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Содержание кобальта в воде определяют фотометрическим методом по научно-технической документации, утвержденной в установленном порядке, или другими методами, не уступающими по точности фотометрическому.</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В воздушной среде и сточных водах в присутствии других веществ или факторов кобальтовый порошок токсичных веществ не образует.</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2.5. Кобальтовый порошок при нормальных условиях не горюч (температура воспламенения 370 °С), </w:t>
      </w:r>
      <w:proofErr w:type="spellStart"/>
      <w:r>
        <w:rPr>
          <w:rFonts w:ascii="Arial" w:hAnsi="Arial" w:cs="Arial"/>
          <w:color w:val="2D2D2D"/>
          <w:spacing w:val="1"/>
          <w:sz w:val="15"/>
          <w:szCs w:val="15"/>
        </w:rPr>
        <w:t>пожар</w:t>
      </w:r>
      <w:proofErr w:type="gramStart"/>
      <w:r>
        <w:rPr>
          <w:rFonts w:ascii="Arial" w:hAnsi="Arial" w:cs="Arial"/>
          <w:color w:val="2D2D2D"/>
          <w:spacing w:val="1"/>
          <w:sz w:val="15"/>
          <w:szCs w:val="15"/>
        </w:rPr>
        <w:t>о</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и взрывобезопасен.</w:t>
      </w:r>
      <w:r>
        <w:rPr>
          <w:rFonts w:ascii="Arial" w:hAnsi="Arial" w:cs="Arial"/>
          <w:color w:val="2D2D2D"/>
          <w:spacing w:val="1"/>
          <w:sz w:val="15"/>
          <w:szCs w:val="15"/>
        </w:rPr>
        <w:br/>
      </w:r>
      <w:r>
        <w:rPr>
          <w:rFonts w:ascii="Arial" w:hAnsi="Arial" w:cs="Arial"/>
          <w:color w:val="2D2D2D"/>
          <w:spacing w:val="1"/>
          <w:sz w:val="15"/>
          <w:szCs w:val="15"/>
        </w:rPr>
        <w:br/>
        <w:t xml:space="preserve">Разд.2.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D30CB0" w:rsidRDefault="00D30CB0" w:rsidP="00D30CB0">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ПРАВИЛА ПРИЕМКИ</w:t>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Кобальтовый порошок принимают партиями. Партия должна быть оформлена одним документом о качестве. Масса партии должна быть не более 500 кг. Документ о качестве должен содержать:</w:t>
      </w:r>
      <w:r>
        <w:rPr>
          <w:rFonts w:ascii="Arial" w:hAnsi="Arial" w:cs="Arial"/>
          <w:color w:val="2D2D2D"/>
          <w:spacing w:val="1"/>
          <w:sz w:val="15"/>
          <w:szCs w:val="15"/>
        </w:rPr>
        <w:br/>
      </w:r>
      <w:r>
        <w:rPr>
          <w:rFonts w:ascii="Arial" w:hAnsi="Arial" w:cs="Arial"/>
          <w:color w:val="2D2D2D"/>
          <w:spacing w:val="1"/>
          <w:sz w:val="15"/>
          <w:szCs w:val="15"/>
        </w:rPr>
        <w:br/>
        <w:t>товарный знак или товарный знак и наименование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наименование и марку продукта;</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количество мест в партии;</w:t>
      </w:r>
      <w:r>
        <w:rPr>
          <w:rFonts w:ascii="Arial" w:hAnsi="Arial" w:cs="Arial"/>
          <w:color w:val="2D2D2D"/>
          <w:spacing w:val="1"/>
          <w:sz w:val="15"/>
          <w:szCs w:val="15"/>
        </w:rPr>
        <w:br/>
      </w:r>
      <w:r>
        <w:rPr>
          <w:rFonts w:ascii="Arial" w:hAnsi="Arial" w:cs="Arial"/>
          <w:color w:val="2D2D2D"/>
          <w:spacing w:val="1"/>
          <w:sz w:val="15"/>
          <w:szCs w:val="15"/>
        </w:rPr>
        <w:br/>
        <w:t>результаты испытаний;</w:t>
      </w:r>
      <w:r>
        <w:rPr>
          <w:rFonts w:ascii="Arial" w:hAnsi="Arial" w:cs="Arial"/>
          <w:color w:val="2D2D2D"/>
          <w:spacing w:val="1"/>
          <w:sz w:val="15"/>
          <w:szCs w:val="15"/>
        </w:rPr>
        <w:br/>
      </w:r>
      <w:r>
        <w:rPr>
          <w:rFonts w:ascii="Arial" w:hAnsi="Arial" w:cs="Arial"/>
          <w:color w:val="2D2D2D"/>
          <w:spacing w:val="1"/>
          <w:sz w:val="15"/>
          <w:szCs w:val="15"/>
        </w:rPr>
        <w:br/>
        <w:t>дату выпуска;</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Для проверки соответствия качества порошка требованиям настоящего стандарта и проверке герметичности упаковки от партии берут выборку по табл.2.</w:t>
      </w:r>
      <w:r>
        <w:rPr>
          <w:rFonts w:ascii="Arial" w:hAnsi="Arial" w:cs="Arial"/>
          <w:color w:val="2D2D2D"/>
          <w:spacing w:val="1"/>
          <w:sz w:val="15"/>
          <w:szCs w:val="15"/>
        </w:rPr>
        <w:br/>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w:t>
      </w:r>
    </w:p>
    <w:tbl>
      <w:tblPr>
        <w:tblW w:w="0" w:type="auto"/>
        <w:tblCellMar>
          <w:left w:w="0" w:type="dxa"/>
          <w:right w:w="0" w:type="dxa"/>
        </w:tblCellMar>
        <w:tblLook w:val="04A0"/>
      </w:tblPr>
      <w:tblGrid>
        <w:gridCol w:w="531"/>
        <w:gridCol w:w="528"/>
        <w:gridCol w:w="528"/>
        <w:gridCol w:w="3684"/>
        <w:gridCol w:w="5218"/>
      </w:tblGrid>
      <w:tr w:rsidR="00D30CB0" w:rsidTr="00D30CB0">
        <w:trPr>
          <w:trHeight w:val="15"/>
        </w:trPr>
        <w:tc>
          <w:tcPr>
            <w:tcW w:w="554" w:type="dxa"/>
            <w:hideMark/>
          </w:tcPr>
          <w:p w:rsidR="00D30CB0" w:rsidRDefault="00D30CB0">
            <w:pPr>
              <w:rPr>
                <w:sz w:val="2"/>
                <w:szCs w:val="24"/>
              </w:rPr>
            </w:pPr>
          </w:p>
        </w:tc>
        <w:tc>
          <w:tcPr>
            <w:tcW w:w="554" w:type="dxa"/>
            <w:hideMark/>
          </w:tcPr>
          <w:p w:rsidR="00D30CB0" w:rsidRDefault="00D30CB0">
            <w:pPr>
              <w:rPr>
                <w:sz w:val="2"/>
                <w:szCs w:val="24"/>
              </w:rPr>
            </w:pPr>
          </w:p>
        </w:tc>
        <w:tc>
          <w:tcPr>
            <w:tcW w:w="554" w:type="dxa"/>
            <w:hideMark/>
          </w:tcPr>
          <w:p w:rsidR="00D30CB0" w:rsidRDefault="00D30CB0">
            <w:pPr>
              <w:rPr>
                <w:sz w:val="2"/>
                <w:szCs w:val="24"/>
              </w:rPr>
            </w:pPr>
          </w:p>
        </w:tc>
        <w:tc>
          <w:tcPr>
            <w:tcW w:w="4066" w:type="dxa"/>
            <w:hideMark/>
          </w:tcPr>
          <w:p w:rsidR="00D30CB0" w:rsidRDefault="00D30CB0">
            <w:pPr>
              <w:rPr>
                <w:sz w:val="2"/>
                <w:szCs w:val="24"/>
              </w:rPr>
            </w:pPr>
          </w:p>
        </w:tc>
        <w:tc>
          <w:tcPr>
            <w:tcW w:w="5729" w:type="dxa"/>
            <w:hideMark/>
          </w:tcPr>
          <w:p w:rsidR="00D30CB0" w:rsidRDefault="00D30CB0">
            <w:pPr>
              <w:rPr>
                <w:sz w:val="2"/>
                <w:szCs w:val="24"/>
              </w:rPr>
            </w:pPr>
          </w:p>
        </w:tc>
      </w:tr>
      <w:tr w:rsidR="00D30CB0" w:rsidTr="00D30CB0">
        <w:tc>
          <w:tcPr>
            <w:tcW w:w="5729"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Количество упаковочных единиц в партии</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выборки</w:t>
            </w:r>
          </w:p>
        </w:tc>
      </w:tr>
      <w:tr w:rsidR="00D30CB0" w:rsidTr="00D30CB0">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От</w:t>
            </w:r>
          </w:p>
        </w:tc>
        <w:tc>
          <w:tcPr>
            <w:tcW w:w="554" w:type="dxa"/>
            <w:tcBorders>
              <w:top w:val="single" w:sz="4" w:space="0" w:color="000000"/>
              <w:left w:val="nil"/>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554" w:type="dxa"/>
            <w:tcBorders>
              <w:top w:val="single" w:sz="4" w:space="0" w:color="000000"/>
              <w:left w:val="nil"/>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до</w:t>
            </w:r>
          </w:p>
        </w:tc>
        <w:tc>
          <w:tcPr>
            <w:tcW w:w="4066" w:type="dxa"/>
            <w:tcBorders>
              <w:top w:val="single" w:sz="4" w:space="0" w:color="000000"/>
              <w:left w:val="nil"/>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Все</w:t>
            </w:r>
          </w:p>
        </w:tc>
      </w:tr>
      <w:tr w:rsidR="00D30CB0" w:rsidTr="00D30CB0">
        <w:tc>
          <w:tcPr>
            <w:tcW w:w="554" w:type="dxa"/>
            <w:tcBorders>
              <w:top w:val="nil"/>
              <w:left w:val="single" w:sz="4" w:space="0" w:color="000000"/>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nil"/>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554" w:type="dxa"/>
            <w:tcBorders>
              <w:top w:val="nil"/>
              <w:left w:val="nil"/>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066" w:type="dxa"/>
            <w:tcBorders>
              <w:top w:val="nil"/>
              <w:left w:val="nil"/>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15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D30CB0" w:rsidTr="00D30CB0">
        <w:tc>
          <w:tcPr>
            <w:tcW w:w="554" w:type="dxa"/>
            <w:tcBorders>
              <w:top w:val="nil"/>
              <w:left w:val="single" w:sz="4" w:space="0" w:color="000000"/>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nil"/>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15</w:t>
            </w:r>
          </w:p>
        </w:tc>
        <w:tc>
          <w:tcPr>
            <w:tcW w:w="554" w:type="dxa"/>
            <w:tcBorders>
              <w:top w:val="nil"/>
              <w:left w:val="nil"/>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066" w:type="dxa"/>
            <w:tcBorders>
              <w:top w:val="nil"/>
              <w:left w:val="nil"/>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35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r>
      <w:tr w:rsidR="00D30CB0" w:rsidTr="00D30CB0">
        <w:tc>
          <w:tcPr>
            <w:tcW w:w="554" w:type="dxa"/>
            <w:tcBorders>
              <w:top w:val="nil"/>
              <w:left w:val="single" w:sz="4" w:space="0" w:color="000000"/>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nil"/>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35</w:t>
            </w:r>
          </w:p>
        </w:tc>
        <w:tc>
          <w:tcPr>
            <w:tcW w:w="554" w:type="dxa"/>
            <w:tcBorders>
              <w:top w:val="nil"/>
              <w:left w:val="nil"/>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066" w:type="dxa"/>
            <w:tcBorders>
              <w:top w:val="nil"/>
              <w:left w:val="nil"/>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60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r>
      <w:tr w:rsidR="00D30CB0" w:rsidTr="00D30CB0">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nil"/>
              <w:bottom w:val="single" w:sz="4" w:space="0" w:color="000000"/>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60</w:t>
            </w:r>
          </w:p>
        </w:tc>
        <w:tc>
          <w:tcPr>
            <w:tcW w:w="554" w:type="dxa"/>
            <w:tcBorders>
              <w:top w:val="nil"/>
              <w:left w:val="nil"/>
              <w:bottom w:val="single" w:sz="4" w:space="0" w:color="000000"/>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066" w:type="dxa"/>
            <w:tcBorders>
              <w:top w:val="nil"/>
              <w:left w:val="nil"/>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99</w:t>
            </w:r>
          </w:p>
        </w:tc>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r>
    </w:tbl>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Примечание. От каждых последующих 100 упаковочных единиц партии отбирают одну упаковочную единицу.</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При получении неудовлетворительных результатов хотя бы по одному из показателей по нему проводят повторные испытания на удвоенной выборке, взятой от той же партии. Результаты повторных испытаний распространяются на всю партию.</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Массовые доли примесей обеспечиваются технологией изготовления и определяются периодически, не реже одного раза в квартал или по требованию потребителя.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r>
        <w:rPr>
          <w:rFonts w:ascii="Arial" w:hAnsi="Arial" w:cs="Arial"/>
          <w:color w:val="2D2D2D"/>
          <w:spacing w:val="1"/>
          <w:sz w:val="15"/>
          <w:szCs w:val="15"/>
        </w:rPr>
        <w:br/>
      </w:r>
    </w:p>
    <w:p w:rsidR="00D30CB0" w:rsidRDefault="00D30CB0" w:rsidP="00D30CB0">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МЕТОДЫ ИСПЫТАНИЙ</w:t>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Отбор и подготовка проб</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 Отбор проб - по ГОСТ 23148*.</w:t>
      </w:r>
      <w:r>
        <w:rPr>
          <w:rFonts w:ascii="Arial" w:hAnsi="Arial" w:cs="Arial"/>
          <w:color w:val="2D2D2D"/>
          <w:spacing w:val="1"/>
          <w:sz w:val="15"/>
          <w:szCs w:val="15"/>
        </w:rPr>
        <w:br/>
        <w:t>______________</w:t>
      </w:r>
      <w:r>
        <w:rPr>
          <w:rFonts w:ascii="Arial" w:hAnsi="Arial" w:cs="Arial"/>
          <w:color w:val="2D2D2D"/>
          <w:spacing w:val="1"/>
          <w:sz w:val="15"/>
          <w:szCs w:val="15"/>
        </w:rPr>
        <w:br/>
        <w:t>* На территории Российской Федерации действует </w:t>
      </w:r>
      <w:r w:rsidRPr="00D30CB0">
        <w:rPr>
          <w:rFonts w:ascii="Arial" w:hAnsi="Arial" w:cs="Arial"/>
          <w:color w:val="2D2D2D"/>
          <w:spacing w:val="1"/>
          <w:sz w:val="15"/>
          <w:szCs w:val="15"/>
        </w:rPr>
        <w:t>ГОСТ 23148-98</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4.1.2. </w:t>
      </w:r>
      <w:proofErr w:type="gramStart"/>
      <w:r>
        <w:rPr>
          <w:rFonts w:ascii="Arial" w:hAnsi="Arial" w:cs="Arial"/>
          <w:color w:val="2D2D2D"/>
          <w:spacing w:val="1"/>
          <w:sz w:val="15"/>
          <w:szCs w:val="15"/>
        </w:rPr>
        <w:t xml:space="preserve">Отобранные точечные пробы тщательно перемешивают, полученную объединенную пробу сокращают </w:t>
      </w:r>
      <w:proofErr w:type="spellStart"/>
      <w:r>
        <w:rPr>
          <w:rFonts w:ascii="Arial" w:hAnsi="Arial" w:cs="Arial"/>
          <w:color w:val="2D2D2D"/>
          <w:spacing w:val="1"/>
          <w:sz w:val="15"/>
          <w:szCs w:val="15"/>
        </w:rPr>
        <w:t>квартованием</w:t>
      </w:r>
      <w:proofErr w:type="spellEnd"/>
      <w:r>
        <w:rPr>
          <w:rFonts w:ascii="Arial" w:hAnsi="Arial" w:cs="Arial"/>
          <w:color w:val="2D2D2D"/>
          <w:spacing w:val="1"/>
          <w:sz w:val="15"/>
          <w:szCs w:val="15"/>
        </w:rPr>
        <w:t xml:space="preserve"> до массы не менее 500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4.1.3. Полученную пробу делят на две части. Одну часть подвергают испытаниям, другую упаковывают в плотно закрытые банки и хранят в течение 1 года на случай возникновения разногласий в оценке качества. Каждая банка должна быть снабжена этикеткой, на которой указывают:</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наименование продукта;</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дату отбора пробы.</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Определение влаги и кислорода на автоматическом анализаторе</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4.2.1. Сущность метода</w:t>
      </w:r>
      <w:r>
        <w:rPr>
          <w:rFonts w:ascii="Arial" w:hAnsi="Arial" w:cs="Arial"/>
          <w:color w:val="2D2D2D"/>
          <w:spacing w:val="1"/>
          <w:sz w:val="15"/>
          <w:szCs w:val="15"/>
        </w:rPr>
        <w:br/>
      </w:r>
      <w:r>
        <w:rPr>
          <w:rFonts w:ascii="Arial" w:hAnsi="Arial" w:cs="Arial"/>
          <w:color w:val="2D2D2D"/>
          <w:spacing w:val="1"/>
          <w:sz w:val="15"/>
          <w:szCs w:val="15"/>
        </w:rPr>
        <w:br/>
        <w:t>Метод определения массовой доли влаги основан на высушивании навески кобальтового порошка в течение 1 мин при 100-120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в токе гелия. Потеря массы навески при высушивании пропорциональна содержанию влаги в порошке.</w:t>
      </w:r>
      <w:r>
        <w:rPr>
          <w:rFonts w:ascii="Arial" w:hAnsi="Arial" w:cs="Arial"/>
          <w:color w:val="2D2D2D"/>
          <w:spacing w:val="1"/>
          <w:sz w:val="15"/>
          <w:szCs w:val="15"/>
        </w:rPr>
        <w:br/>
      </w:r>
      <w:r>
        <w:rPr>
          <w:rFonts w:ascii="Arial" w:hAnsi="Arial" w:cs="Arial"/>
          <w:color w:val="2D2D2D"/>
          <w:spacing w:val="1"/>
          <w:sz w:val="15"/>
          <w:szCs w:val="15"/>
        </w:rPr>
        <w:br/>
        <w:t>Метод определения массовой доли кислорода основан на реакции взаимодействия растворенного и связанного кислорода в пробе с углеродом графитового тигля при температуре расплава (2000-2800 °С) в токе гелия с образованием оксида углерода (II). Газовая смесь проходит через колонку с нагретым оксидом меди (II), на котором происходит окисление оксида углерода (II) до оксида углерода (IV). Поток газа, содержащий оксид углерода (IV), проходит через детектор теплопроводности. Изменение теплопроводности газовой смеси пропорционально содержанию кислорода в пробе. Газом сравнения является гелий, направляемый отдельным потоком в детектор.</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4.2.2. Общие требования и требования безопасности - по ГОСТ 741.1</w:t>
      </w:r>
      <w:proofErr w:type="gramStart"/>
      <w:r>
        <w:rPr>
          <w:rFonts w:ascii="Arial" w:hAnsi="Arial" w:cs="Arial"/>
          <w:color w:val="2D2D2D"/>
          <w:spacing w:val="1"/>
          <w:sz w:val="15"/>
          <w:szCs w:val="15"/>
        </w:rPr>
        <w:t>*</w:t>
      </w:r>
      <w:r>
        <w:rPr>
          <w:rFonts w:ascii="Arial" w:hAnsi="Arial" w:cs="Arial"/>
          <w:color w:val="2D2D2D"/>
          <w:spacing w:val="1"/>
          <w:sz w:val="15"/>
          <w:szCs w:val="15"/>
        </w:rPr>
        <w:br/>
        <w:t>________________</w:t>
      </w:r>
      <w:r>
        <w:rPr>
          <w:rFonts w:ascii="Arial" w:hAnsi="Arial" w:cs="Arial"/>
          <w:color w:val="2D2D2D"/>
          <w:spacing w:val="1"/>
          <w:sz w:val="15"/>
          <w:szCs w:val="15"/>
        </w:rPr>
        <w:br/>
        <w:t>* В</w:t>
      </w:r>
      <w:proofErr w:type="gramEnd"/>
      <w:r>
        <w:rPr>
          <w:rFonts w:ascii="Arial" w:hAnsi="Arial" w:cs="Arial"/>
          <w:color w:val="2D2D2D"/>
          <w:spacing w:val="1"/>
          <w:sz w:val="15"/>
          <w:szCs w:val="15"/>
        </w:rPr>
        <w:t xml:space="preserve"> части разд.1 заменен </w:t>
      </w:r>
      <w:r w:rsidRPr="00D30CB0">
        <w:rPr>
          <w:rFonts w:ascii="Arial" w:hAnsi="Arial" w:cs="Arial"/>
          <w:color w:val="2D2D2D"/>
          <w:spacing w:val="1"/>
          <w:sz w:val="15"/>
          <w:szCs w:val="15"/>
        </w:rPr>
        <w:t>ГОСТ 13047.1-2002</w:t>
      </w:r>
      <w:r>
        <w:rPr>
          <w:rFonts w:ascii="Arial" w:hAnsi="Arial" w:cs="Arial"/>
          <w:color w:val="2D2D2D"/>
          <w:spacing w:val="1"/>
          <w:sz w:val="15"/>
          <w:szCs w:val="15"/>
        </w:rPr>
        <w:t>, кроме разд.1 заменен </w:t>
      </w:r>
      <w:r w:rsidRPr="00D30CB0">
        <w:rPr>
          <w:rFonts w:ascii="Arial" w:hAnsi="Arial" w:cs="Arial"/>
          <w:color w:val="2D2D2D"/>
          <w:spacing w:val="1"/>
          <w:sz w:val="15"/>
          <w:szCs w:val="15"/>
        </w:rPr>
        <w:t>ГОСТ 13047.3-2002</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4.2.3. Аппаратура, реактивы</w:t>
      </w:r>
      <w:r>
        <w:rPr>
          <w:rFonts w:ascii="Arial" w:hAnsi="Arial" w:cs="Arial"/>
          <w:color w:val="2D2D2D"/>
          <w:spacing w:val="1"/>
          <w:sz w:val="15"/>
          <w:szCs w:val="15"/>
        </w:rPr>
        <w:br/>
      </w:r>
      <w:r>
        <w:rPr>
          <w:rFonts w:ascii="Arial" w:hAnsi="Arial" w:cs="Arial"/>
          <w:color w:val="2D2D2D"/>
          <w:spacing w:val="1"/>
          <w:sz w:val="15"/>
          <w:szCs w:val="15"/>
        </w:rPr>
        <w:br/>
        <w:t xml:space="preserve">Аналитический анализатор со всеми принадлежностями, обеспечивающий получение метрологических характеристик, не уступающих </w:t>
      </w:r>
      <w:proofErr w:type="gramStart"/>
      <w:r>
        <w:rPr>
          <w:rFonts w:ascii="Arial" w:hAnsi="Arial" w:cs="Arial"/>
          <w:color w:val="2D2D2D"/>
          <w:spacing w:val="1"/>
          <w:sz w:val="15"/>
          <w:szCs w:val="15"/>
        </w:rPr>
        <w:t>приведенным</w:t>
      </w:r>
      <w:proofErr w:type="gramEnd"/>
      <w:r>
        <w:rPr>
          <w:rFonts w:ascii="Arial" w:hAnsi="Arial" w:cs="Arial"/>
          <w:color w:val="2D2D2D"/>
          <w:spacing w:val="1"/>
          <w:sz w:val="15"/>
          <w:szCs w:val="15"/>
        </w:rPr>
        <w:t xml:space="preserve"> в табл.3.</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типа ВЛР-200 г или аналогичного типа.</w:t>
      </w:r>
      <w:r>
        <w:rPr>
          <w:rFonts w:ascii="Arial" w:hAnsi="Arial" w:cs="Arial"/>
          <w:color w:val="2D2D2D"/>
          <w:spacing w:val="1"/>
          <w:sz w:val="15"/>
          <w:szCs w:val="15"/>
        </w:rPr>
        <w:br/>
      </w:r>
      <w:r>
        <w:rPr>
          <w:rFonts w:ascii="Arial" w:hAnsi="Arial" w:cs="Arial"/>
          <w:color w:val="2D2D2D"/>
          <w:spacing w:val="1"/>
          <w:sz w:val="15"/>
          <w:szCs w:val="15"/>
        </w:rPr>
        <w:br/>
        <w:t>Регулятор напряжения на 220-380 В.</w:t>
      </w:r>
      <w:r>
        <w:rPr>
          <w:rFonts w:ascii="Arial" w:hAnsi="Arial" w:cs="Arial"/>
          <w:color w:val="2D2D2D"/>
          <w:spacing w:val="1"/>
          <w:sz w:val="15"/>
          <w:szCs w:val="15"/>
        </w:rPr>
        <w:br/>
      </w:r>
      <w:r>
        <w:rPr>
          <w:rFonts w:ascii="Arial" w:hAnsi="Arial" w:cs="Arial"/>
          <w:color w:val="2D2D2D"/>
          <w:spacing w:val="1"/>
          <w:sz w:val="15"/>
          <w:szCs w:val="15"/>
        </w:rPr>
        <w:br/>
        <w:t>Стандартные образцы предприятий состава никелевого или кобальтового порошка или государственные стандартные образцы состава стали СГ-10.</w:t>
      </w:r>
      <w:r>
        <w:rPr>
          <w:rFonts w:ascii="Arial" w:hAnsi="Arial" w:cs="Arial"/>
          <w:color w:val="2D2D2D"/>
          <w:spacing w:val="1"/>
          <w:sz w:val="15"/>
          <w:szCs w:val="15"/>
        </w:rPr>
        <w:br/>
      </w:r>
      <w:r>
        <w:rPr>
          <w:rFonts w:ascii="Arial" w:hAnsi="Arial" w:cs="Arial"/>
          <w:color w:val="2D2D2D"/>
          <w:spacing w:val="1"/>
          <w:sz w:val="15"/>
          <w:szCs w:val="15"/>
        </w:rPr>
        <w:br/>
        <w:t>Стандартные образцы состава (СОС), соответствующие анализатору.</w:t>
      </w:r>
      <w:r>
        <w:rPr>
          <w:rFonts w:ascii="Arial" w:hAnsi="Arial" w:cs="Arial"/>
          <w:color w:val="2D2D2D"/>
          <w:spacing w:val="1"/>
          <w:sz w:val="15"/>
          <w:szCs w:val="15"/>
        </w:rPr>
        <w:br/>
      </w:r>
      <w:r>
        <w:rPr>
          <w:rFonts w:ascii="Arial" w:hAnsi="Arial" w:cs="Arial"/>
          <w:color w:val="2D2D2D"/>
          <w:spacing w:val="1"/>
          <w:sz w:val="15"/>
          <w:szCs w:val="15"/>
        </w:rPr>
        <w:br/>
        <w:t>Секундомер по ТУ 25-1894.003.</w:t>
      </w:r>
      <w:r>
        <w:rPr>
          <w:rFonts w:ascii="Arial" w:hAnsi="Arial" w:cs="Arial"/>
          <w:color w:val="2D2D2D"/>
          <w:spacing w:val="1"/>
          <w:sz w:val="15"/>
          <w:szCs w:val="15"/>
        </w:rPr>
        <w:br/>
      </w:r>
      <w:r>
        <w:rPr>
          <w:rFonts w:ascii="Arial" w:hAnsi="Arial" w:cs="Arial"/>
          <w:color w:val="2D2D2D"/>
          <w:spacing w:val="1"/>
          <w:sz w:val="15"/>
          <w:szCs w:val="15"/>
        </w:rPr>
        <w:br/>
        <w:t>Тигли графитовые по ТУ 16-538-322.</w:t>
      </w:r>
      <w:r>
        <w:rPr>
          <w:rFonts w:ascii="Arial" w:hAnsi="Arial" w:cs="Arial"/>
          <w:color w:val="2D2D2D"/>
          <w:spacing w:val="1"/>
          <w:sz w:val="15"/>
          <w:szCs w:val="15"/>
        </w:rPr>
        <w:br/>
      </w:r>
      <w:r>
        <w:rPr>
          <w:rFonts w:ascii="Arial" w:hAnsi="Arial" w:cs="Arial"/>
          <w:color w:val="2D2D2D"/>
          <w:spacing w:val="1"/>
          <w:sz w:val="15"/>
          <w:szCs w:val="15"/>
        </w:rPr>
        <w:br/>
        <w:t>Пресс гидравлический, обеспечивающий получение усилия не менее 1500 Н.</w:t>
      </w:r>
      <w:r>
        <w:rPr>
          <w:rFonts w:ascii="Arial" w:hAnsi="Arial" w:cs="Arial"/>
          <w:color w:val="2D2D2D"/>
          <w:spacing w:val="1"/>
          <w:sz w:val="15"/>
          <w:szCs w:val="15"/>
        </w:rPr>
        <w:br/>
      </w:r>
      <w:r>
        <w:rPr>
          <w:rFonts w:ascii="Arial" w:hAnsi="Arial" w:cs="Arial"/>
          <w:color w:val="2D2D2D"/>
          <w:spacing w:val="1"/>
          <w:sz w:val="15"/>
          <w:szCs w:val="15"/>
        </w:rPr>
        <w:br/>
        <w:t>Пресс-форма стальная с пуансоном диаметром 5-6 мм, высотой 50-60 мм.</w:t>
      </w:r>
      <w:r>
        <w:rPr>
          <w:rFonts w:ascii="Arial" w:hAnsi="Arial" w:cs="Arial"/>
          <w:color w:val="2D2D2D"/>
          <w:spacing w:val="1"/>
          <w:sz w:val="15"/>
          <w:szCs w:val="15"/>
        </w:rPr>
        <w:br/>
      </w:r>
      <w:r>
        <w:rPr>
          <w:rFonts w:ascii="Arial" w:hAnsi="Arial" w:cs="Arial"/>
          <w:color w:val="2D2D2D"/>
          <w:spacing w:val="1"/>
          <w:sz w:val="15"/>
          <w:szCs w:val="15"/>
        </w:rPr>
        <w:br/>
        <w:t>Пинцет пластмассовый.</w:t>
      </w:r>
      <w:r>
        <w:rPr>
          <w:rFonts w:ascii="Arial" w:hAnsi="Arial" w:cs="Arial"/>
          <w:color w:val="2D2D2D"/>
          <w:spacing w:val="1"/>
          <w:sz w:val="15"/>
          <w:szCs w:val="15"/>
        </w:rPr>
        <w:br/>
      </w:r>
      <w:r>
        <w:rPr>
          <w:rFonts w:ascii="Arial" w:hAnsi="Arial" w:cs="Arial"/>
          <w:color w:val="2D2D2D"/>
          <w:spacing w:val="1"/>
          <w:sz w:val="15"/>
          <w:szCs w:val="15"/>
        </w:rPr>
        <w:br/>
        <w:t>Пинцет медицинский по </w:t>
      </w:r>
      <w:r w:rsidRPr="00D30CB0">
        <w:rPr>
          <w:rFonts w:ascii="Arial" w:hAnsi="Arial" w:cs="Arial"/>
          <w:color w:val="2D2D2D"/>
          <w:spacing w:val="1"/>
          <w:sz w:val="15"/>
          <w:szCs w:val="15"/>
        </w:rPr>
        <w:t>ГОСТ 21241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Эксикатор 2-100, 2-140 или 2-250 по </w:t>
      </w:r>
      <w:r w:rsidRPr="00D30CB0">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Аскарит</w:t>
      </w:r>
      <w:proofErr w:type="spellEnd"/>
      <w:r>
        <w:rPr>
          <w:rFonts w:ascii="Arial" w:hAnsi="Arial" w:cs="Arial"/>
          <w:color w:val="2D2D2D"/>
          <w:spacing w:val="1"/>
          <w:sz w:val="15"/>
          <w:szCs w:val="15"/>
        </w:rPr>
        <w:t xml:space="preserve"> по ТУ 6-09-4128.</w:t>
      </w:r>
      <w:r>
        <w:rPr>
          <w:rFonts w:ascii="Arial" w:hAnsi="Arial" w:cs="Arial"/>
          <w:color w:val="2D2D2D"/>
          <w:spacing w:val="1"/>
          <w:sz w:val="15"/>
          <w:szCs w:val="15"/>
        </w:rPr>
        <w:br/>
      </w:r>
      <w:r>
        <w:rPr>
          <w:rFonts w:ascii="Arial" w:hAnsi="Arial" w:cs="Arial"/>
          <w:color w:val="2D2D2D"/>
          <w:spacing w:val="1"/>
          <w:sz w:val="15"/>
          <w:szCs w:val="15"/>
        </w:rPr>
        <w:br/>
        <w:t>Магния перхлорат (</w:t>
      </w:r>
      <w:proofErr w:type="spellStart"/>
      <w:r>
        <w:rPr>
          <w:rFonts w:ascii="Arial" w:hAnsi="Arial" w:cs="Arial"/>
          <w:color w:val="2D2D2D"/>
          <w:spacing w:val="1"/>
          <w:sz w:val="15"/>
          <w:szCs w:val="15"/>
        </w:rPr>
        <w:t>ангидрон</w:t>
      </w:r>
      <w:proofErr w:type="spellEnd"/>
      <w:r>
        <w:rPr>
          <w:rFonts w:ascii="Arial" w:hAnsi="Arial" w:cs="Arial"/>
          <w:color w:val="2D2D2D"/>
          <w:spacing w:val="1"/>
          <w:sz w:val="15"/>
          <w:szCs w:val="15"/>
        </w:rPr>
        <w:t>) по ТУ 6-09-3880.</w:t>
      </w:r>
      <w:r>
        <w:rPr>
          <w:rFonts w:ascii="Arial" w:hAnsi="Arial" w:cs="Arial"/>
          <w:color w:val="2D2D2D"/>
          <w:spacing w:val="1"/>
          <w:sz w:val="15"/>
          <w:szCs w:val="15"/>
        </w:rPr>
        <w:br/>
      </w:r>
      <w:r>
        <w:rPr>
          <w:rFonts w:ascii="Arial" w:hAnsi="Arial" w:cs="Arial"/>
          <w:color w:val="2D2D2D"/>
          <w:spacing w:val="1"/>
          <w:sz w:val="15"/>
          <w:szCs w:val="15"/>
        </w:rPr>
        <w:br/>
        <w:t>Гелий газообразный по </w:t>
      </w:r>
      <w:r w:rsidRPr="00D30CB0">
        <w:rPr>
          <w:rFonts w:ascii="Arial" w:hAnsi="Arial" w:cs="Arial"/>
          <w:color w:val="2D2D2D"/>
          <w:spacing w:val="1"/>
          <w:sz w:val="15"/>
          <w:szCs w:val="15"/>
        </w:rPr>
        <w:t>ГОСТ 20461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D30CB0">
        <w:rPr>
          <w:rFonts w:ascii="Arial" w:hAnsi="Arial" w:cs="Arial"/>
          <w:color w:val="2D2D2D"/>
          <w:spacing w:val="1"/>
          <w:sz w:val="15"/>
          <w:szCs w:val="15"/>
        </w:rPr>
        <w:t>ГОСТ 18300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Стекловолокно по </w:t>
      </w:r>
      <w:r w:rsidRPr="00D30CB0">
        <w:rPr>
          <w:rFonts w:ascii="Arial" w:hAnsi="Arial" w:cs="Arial"/>
          <w:color w:val="2D2D2D"/>
          <w:spacing w:val="1"/>
          <w:sz w:val="15"/>
          <w:szCs w:val="15"/>
        </w:rPr>
        <w:t>ГОСТ 10727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Вата медицинская гигроскопическая по </w:t>
      </w:r>
      <w:r w:rsidRPr="00D30CB0">
        <w:rPr>
          <w:rFonts w:ascii="Arial" w:hAnsi="Arial" w:cs="Arial"/>
          <w:color w:val="2D2D2D"/>
          <w:spacing w:val="1"/>
          <w:sz w:val="15"/>
          <w:szCs w:val="15"/>
        </w:rPr>
        <w:t>ГОСТ 5556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Ткань хлопчатобумажная бязевой группы по ГОСТ 29298*.</w:t>
      </w:r>
      <w:r>
        <w:rPr>
          <w:rFonts w:ascii="Arial" w:hAnsi="Arial" w:cs="Arial"/>
          <w:color w:val="2D2D2D"/>
          <w:spacing w:val="1"/>
          <w:sz w:val="15"/>
          <w:szCs w:val="15"/>
        </w:rPr>
        <w:br/>
        <w:t>______________</w:t>
      </w:r>
      <w:r>
        <w:rPr>
          <w:rFonts w:ascii="Arial" w:hAnsi="Arial" w:cs="Arial"/>
          <w:color w:val="2D2D2D"/>
          <w:spacing w:val="1"/>
          <w:sz w:val="15"/>
          <w:szCs w:val="15"/>
        </w:rPr>
        <w:br/>
        <w:t>* На территории Российской Федерации действует </w:t>
      </w:r>
      <w:r w:rsidRPr="00D30CB0">
        <w:rPr>
          <w:rFonts w:ascii="Arial" w:hAnsi="Arial" w:cs="Arial"/>
          <w:color w:val="2D2D2D"/>
          <w:spacing w:val="1"/>
          <w:sz w:val="15"/>
          <w:szCs w:val="15"/>
        </w:rPr>
        <w:t>ГОСТ 29298-2005</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Для определения влаги на анализаторе требуется произвести подключение силового трансформатора печи через регулятор напряжения для регулировки малых токов.</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4.2.4. Проведение анализа</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4.2.4.1. Включение анализатора, его прогрев, градуировку и выполнение анализа проводят согласно инструкции по эксплуатации анализатора.</w:t>
      </w:r>
      <w:r>
        <w:rPr>
          <w:rFonts w:ascii="Arial" w:hAnsi="Arial" w:cs="Arial"/>
          <w:color w:val="2D2D2D"/>
          <w:spacing w:val="1"/>
          <w:sz w:val="15"/>
          <w:szCs w:val="15"/>
        </w:rPr>
        <w:br/>
      </w:r>
      <w:r>
        <w:rPr>
          <w:rFonts w:ascii="Arial" w:hAnsi="Arial" w:cs="Arial"/>
          <w:color w:val="2D2D2D"/>
          <w:spacing w:val="1"/>
          <w:sz w:val="15"/>
          <w:szCs w:val="15"/>
        </w:rPr>
        <w:br/>
        <w:t>Определение поправки контрольного опыта проводят в соответствии с "Инструкцией для лаборанта по эксплуатации газоанализатора". Значение контрольного опыта не должно превышать 4·10</w:t>
      </w:r>
      <w:r>
        <w:rPr>
          <w:rFonts w:ascii="Arial" w:hAnsi="Arial" w:cs="Arial"/>
          <w:color w:val="2D2D2D"/>
          <w:spacing w:val="1"/>
          <w:sz w:val="15"/>
          <w:szCs w:val="15"/>
        </w:rPr>
        <w:pict>
          <v:shape id="_x0000_i1029" type="#_x0000_t75" alt="ГОСТ 9721-79 Порошок кобальтовый. Технические условия (с Изменениями N 1, 2, 3, 4)" style="width:12.9pt;height:17.2pt"/>
        </w:pict>
      </w:r>
      <w:r>
        <w:rPr>
          <w:rFonts w:ascii="Arial" w:hAnsi="Arial" w:cs="Arial"/>
          <w:color w:val="2D2D2D"/>
          <w:spacing w:val="1"/>
          <w:sz w:val="15"/>
          <w:szCs w:val="15"/>
        </w:rPr>
        <w:t>%.</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4.2.4.2. При анализе кобальтового порошка на содержание влаги в графитовый тигель отвешивают 1,5000-2,5000 г порошка и помещают в печь газоанализатора. В течение 1 мин навеску высушивают в токе гелия при температуре 100-120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Затем графитовый тигель с навеской вновь взвешивают. При этом необходимо учитывать поправку контрольного опыта. Для этого взвешивают три пустых тигля, высушивают при тех же условиях, вновь взвешивают, результат усредняют.</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4.2.4.3. При анализе кобальтового порошка на содержание кислорода берут навеску массой 0,150-0,200 г в виде порошка или спрессованную в таблетку. При этом на компенсаторе веса газоанализатора выставляется величина в 2-3 раза больше величины навески. Показания цифрового вольтметра (содержание кислорода в процентах) должны быть увеличены также в 2-3 раза соответственно.</w:t>
      </w:r>
      <w:r>
        <w:rPr>
          <w:rFonts w:ascii="Arial" w:hAnsi="Arial" w:cs="Arial"/>
          <w:color w:val="2D2D2D"/>
          <w:spacing w:val="1"/>
          <w:sz w:val="15"/>
          <w:szCs w:val="15"/>
        </w:rPr>
        <w:br/>
      </w:r>
      <w:r>
        <w:rPr>
          <w:rFonts w:ascii="Arial" w:hAnsi="Arial" w:cs="Arial"/>
          <w:color w:val="2D2D2D"/>
          <w:spacing w:val="1"/>
          <w:sz w:val="15"/>
          <w:szCs w:val="15"/>
        </w:rPr>
        <w:br/>
        <w:t>По окончании анализа определяют коэффициент экстракции, который не должен превышать значение контрольного опыта.</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4.2.4.4.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влаги</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30" type="#_x0000_t75" alt="ГОСТ 9721-79 Порошок кобальтовый. Технические условия (с Изменениями N 1, 2, 3, 4)" style="width:14.5pt;height:12.9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87450" cy="409575"/>
            <wp:effectExtent l="19050" t="0" r="0" b="0"/>
            <wp:docPr id="7" name="Рисунок 7" descr="ГОСТ 9721-79 Порошок кобальтовы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9721-79 Порошок кобальтовый. Технические условия (с Изменениями N 1, 2, 3, 4)"/>
                    <pic:cNvPicPr>
                      <a:picLocks noChangeAspect="1" noChangeArrowheads="1"/>
                    </pic:cNvPicPr>
                  </pic:nvPicPr>
                  <pic:blipFill>
                    <a:blip r:embed="rId7" cstate="print"/>
                    <a:srcRect/>
                    <a:stretch>
                      <a:fillRect/>
                    </a:stretch>
                  </pic:blipFill>
                  <pic:spPr bwMode="auto">
                    <a:xfrm>
                      <a:off x="0" y="0"/>
                      <a:ext cx="118745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32" type="#_x0000_t75" alt="ГОСТ 9721-79 Порошок кобальтовый. Технические условия (с Изменениями N 1, 2, 3, 4)" style="width:12.9pt;height:11.3pt"/>
        </w:pict>
      </w:r>
      <w:r>
        <w:rPr>
          <w:rFonts w:ascii="Arial" w:hAnsi="Arial" w:cs="Arial"/>
          <w:color w:val="2D2D2D"/>
          <w:spacing w:val="1"/>
          <w:sz w:val="15"/>
          <w:szCs w:val="15"/>
        </w:rPr>
        <w:t xml:space="preserve"> - масса навески порошка до высушивания,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33" type="#_x0000_t75" alt="ГОСТ 9721-79 Порошок кобальтовый. Технические условия (с Изменениями N 1, 2, 3, 4)" style="width:15.6pt;height:17.2pt"/>
        </w:pict>
      </w:r>
      <w:r>
        <w:rPr>
          <w:rFonts w:ascii="Arial" w:hAnsi="Arial" w:cs="Arial"/>
          <w:color w:val="2D2D2D"/>
          <w:spacing w:val="1"/>
          <w:sz w:val="15"/>
          <w:szCs w:val="15"/>
        </w:rPr>
        <w:t> - масса навески порошка после высушивания, г.</w:t>
      </w:r>
      <w:r>
        <w:rPr>
          <w:rFonts w:ascii="Arial" w:hAnsi="Arial" w:cs="Arial"/>
          <w:color w:val="2D2D2D"/>
          <w:spacing w:val="1"/>
          <w:sz w:val="15"/>
          <w:szCs w:val="15"/>
        </w:rPr>
        <w:br/>
      </w:r>
      <w:r>
        <w:rPr>
          <w:rFonts w:ascii="Arial" w:hAnsi="Arial" w:cs="Arial"/>
          <w:color w:val="2D2D2D"/>
          <w:spacing w:val="1"/>
          <w:sz w:val="15"/>
          <w:szCs w:val="15"/>
        </w:rPr>
        <w:br/>
        <w:t>Массовую долю кислорода в порошке определяют по показаниям цифрового вольтметра в процентах.</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трех параллельных определений массовой доли влаги и кислорода.</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4.2.4.5. Абсолютные допускаемые расхождения результатов параллельных определений, характеризующих сходимость метода определения влаги и кислорода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34" type="#_x0000_t75" alt="ГОСТ 9721-79 Порошок кобальтовый. Технические условия (с Изменениями N 1, 2, 3, 4)" style="width:11.3pt;height:14.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 xml:space="preserve">и результатов двух анализов, характеризующих </w:t>
      </w:r>
      <w:proofErr w:type="spellStart"/>
      <w:r>
        <w:rPr>
          <w:rFonts w:ascii="Arial" w:hAnsi="Arial" w:cs="Arial"/>
          <w:color w:val="2D2D2D"/>
          <w:spacing w:val="1"/>
          <w:sz w:val="15"/>
          <w:szCs w:val="15"/>
        </w:rPr>
        <w:t>воспроизводимость</w:t>
      </w:r>
      <w:proofErr w:type="spellEnd"/>
      <w:r>
        <w:rPr>
          <w:rFonts w:ascii="Arial" w:hAnsi="Arial" w:cs="Arial"/>
          <w:color w:val="2D2D2D"/>
          <w:spacing w:val="1"/>
          <w:sz w:val="15"/>
          <w:szCs w:val="15"/>
        </w:rPr>
        <w:t xml:space="preserve"> метода (</w:t>
      </w:r>
      <w:r>
        <w:rPr>
          <w:rFonts w:ascii="Arial" w:hAnsi="Arial" w:cs="Arial"/>
          <w:color w:val="2D2D2D"/>
          <w:spacing w:val="1"/>
          <w:sz w:val="15"/>
          <w:szCs w:val="15"/>
        </w:rPr>
        <w:pict>
          <v:shape id="_x0000_i1035" type="#_x0000_t75" alt="ГОСТ 9721-79 Порошок кобальтовый. Технические условия (с Изменениями N 1, 2, 3, 4)" style="width:12.9pt;height:12.9pt"/>
        </w:pict>
      </w:r>
      <w:r>
        <w:rPr>
          <w:rFonts w:ascii="Arial" w:hAnsi="Arial" w:cs="Arial"/>
          <w:color w:val="2D2D2D"/>
          <w:spacing w:val="1"/>
          <w:sz w:val="15"/>
          <w:szCs w:val="15"/>
        </w:rPr>
        <w:t>), не должны превышать значений, приведенных в табл.3.</w:t>
      </w:r>
      <w:r>
        <w:rPr>
          <w:rFonts w:ascii="Arial" w:hAnsi="Arial" w:cs="Arial"/>
          <w:color w:val="2D2D2D"/>
          <w:spacing w:val="1"/>
          <w:sz w:val="15"/>
          <w:szCs w:val="15"/>
        </w:rPr>
        <w:br/>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3</w:t>
      </w:r>
    </w:p>
    <w:tbl>
      <w:tblPr>
        <w:tblW w:w="0" w:type="auto"/>
        <w:tblCellMar>
          <w:left w:w="0" w:type="dxa"/>
          <w:right w:w="0" w:type="dxa"/>
        </w:tblCellMar>
        <w:tblLook w:val="04A0"/>
      </w:tblPr>
      <w:tblGrid>
        <w:gridCol w:w="532"/>
        <w:gridCol w:w="872"/>
        <w:gridCol w:w="524"/>
        <w:gridCol w:w="872"/>
        <w:gridCol w:w="1211"/>
        <w:gridCol w:w="3327"/>
        <w:gridCol w:w="3151"/>
      </w:tblGrid>
      <w:tr w:rsidR="00D30CB0" w:rsidTr="00D30CB0">
        <w:trPr>
          <w:trHeight w:val="15"/>
        </w:trPr>
        <w:tc>
          <w:tcPr>
            <w:tcW w:w="554" w:type="dxa"/>
            <w:hideMark/>
          </w:tcPr>
          <w:p w:rsidR="00D30CB0" w:rsidRDefault="00D30CB0">
            <w:pPr>
              <w:rPr>
                <w:sz w:val="2"/>
                <w:szCs w:val="24"/>
              </w:rPr>
            </w:pPr>
          </w:p>
        </w:tc>
        <w:tc>
          <w:tcPr>
            <w:tcW w:w="924" w:type="dxa"/>
            <w:hideMark/>
          </w:tcPr>
          <w:p w:rsidR="00D30CB0" w:rsidRDefault="00D30CB0">
            <w:pPr>
              <w:rPr>
                <w:sz w:val="2"/>
                <w:szCs w:val="24"/>
              </w:rPr>
            </w:pPr>
          </w:p>
        </w:tc>
        <w:tc>
          <w:tcPr>
            <w:tcW w:w="554" w:type="dxa"/>
            <w:hideMark/>
          </w:tcPr>
          <w:p w:rsidR="00D30CB0" w:rsidRDefault="00D30CB0">
            <w:pPr>
              <w:rPr>
                <w:sz w:val="2"/>
                <w:szCs w:val="24"/>
              </w:rPr>
            </w:pPr>
          </w:p>
        </w:tc>
        <w:tc>
          <w:tcPr>
            <w:tcW w:w="924" w:type="dxa"/>
            <w:hideMark/>
          </w:tcPr>
          <w:p w:rsidR="00D30CB0" w:rsidRDefault="00D30CB0">
            <w:pPr>
              <w:rPr>
                <w:sz w:val="2"/>
                <w:szCs w:val="24"/>
              </w:rPr>
            </w:pPr>
          </w:p>
        </w:tc>
        <w:tc>
          <w:tcPr>
            <w:tcW w:w="1294" w:type="dxa"/>
            <w:hideMark/>
          </w:tcPr>
          <w:p w:rsidR="00D30CB0" w:rsidRDefault="00D30CB0">
            <w:pPr>
              <w:rPr>
                <w:sz w:val="2"/>
                <w:szCs w:val="24"/>
              </w:rPr>
            </w:pPr>
          </w:p>
        </w:tc>
        <w:tc>
          <w:tcPr>
            <w:tcW w:w="3696" w:type="dxa"/>
            <w:hideMark/>
          </w:tcPr>
          <w:p w:rsidR="00D30CB0" w:rsidRDefault="00D30CB0">
            <w:pPr>
              <w:rPr>
                <w:sz w:val="2"/>
                <w:szCs w:val="24"/>
              </w:rPr>
            </w:pPr>
          </w:p>
        </w:tc>
        <w:tc>
          <w:tcPr>
            <w:tcW w:w="3511" w:type="dxa"/>
            <w:hideMark/>
          </w:tcPr>
          <w:p w:rsidR="00D30CB0" w:rsidRDefault="00D30CB0">
            <w:pPr>
              <w:rPr>
                <w:sz w:val="2"/>
                <w:szCs w:val="24"/>
              </w:rPr>
            </w:pPr>
          </w:p>
        </w:tc>
      </w:tr>
      <w:tr w:rsidR="00D30CB0" w:rsidTr="00D30CB0">
        <w:tc>
          <w:tcPr>
            <w:tcW w:w="4250" w:type="dxa"/>
            <w:gridSpan w:val="5"/>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w:t>
            </w:r>
          </w:p>
        </w:tc>
        <w:tc>
          <w:tcPr>
            <w:tcW w:w="720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Абсолютные допустимые расхождения, %</w:t>
            </w:r>
          </w:p>
        </w:tc>
      </w:tr>
      <w:tr w:rsidR="00D30CB0" w:rsidTr="00D30CB0">
        <w:tc>
          <w:tcPr>
            <w:tcW w:w="4250"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36" type="#_x0000_t75" alt="ГОСТ 9721-79 Порошок кобальтовый. Технические условия (с Изменениями N 1, 2, 3, 4)" style="width:11.3pt;height:14.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37" type="#_x0000_t75" alt="ГОСТ 9721-79 Порошок кобальтовый. Технические условия (с Изменениями N 1, 2, 3, 4)" style="width:12.9pt;height:12.9pt"/>
              </w:pict>
            </w:r>
          </w:p>
        </w:tc>
      </w:tr>
      <w:tr w:rsidR="00D30CB0" w:rsidTr="00D30CB0">
        <w:tc>
          <w:tcPr>
            <w:tcW w:w="4250" w:type="dxa"/>
            <w:gridSpan w:val="5"/>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Влаги</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30CB0" w:rsidRDefault="00D30CB0">
            <w:pPr>
              <w:rPr>
                <w:sz w:val="24"/>
                <w:szCs w:val="24"/>
              </w:rPr>
            </w:pP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30CB0" w:rsidRDefault="00D30CB0">
            <w:pPr>
              <w:rPr>
                <w:sz w:val="24"/>
                <w:szCs w:val="24"/>
              </w:rPr>
            </w:pPr>
          </w:p>
        </w:tc>
      </w:tr>
      <w:tr w:rsidR="00D30CB0" w:rsidTr="00D30CB0">
        <w:tc>
          <w:tcPr>
            <w:tcW w:w="554" w:type="dxa"/>
            <w:tcBorders>
              <w:top w:val="nil"/>
              <w:left w:val="single" w:sz="4" w:space="0" w:color="000000"/>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От</w:t>
            </w:r>
          </w:p>
        </w:tc>
        <w:tc>
          <w:tcPr>
            <w:tcW w:w="924" w:type="dxa"/>
            <w:tcBorders>
              <w:top w:val="nil"/>
              <w:left w:val="nil"/>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0,020</w:t>
            </w:r>
          </w:p>
        </w:tc>
        <w:tc>
          <w:tcPr>
            <w:tcW w:w="554" w:type="dxa"/>
            <w:tcBorders>
              <w:top w:val="nil"/>
              <w:left w:val="nil"/>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до</w:t>
            </w:r>
          </w:p>
        </w:tc>
        <w:tc>
          <w:tcPr>
            <w:tcW w:w="924" w:type="dxa"/>
            <w:tcBorders>
              <w:top w:val="nil"/>
              <w:left w:val="nil"/>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0,040</w:t>
            </w:r>
          </w:p>
        </w:tc>
        <w:tc>
          <w:tcPr>
            <w:tcW w:w="1294" w:type="dxa"/>
            <w:tcBorders>
              <w:top w:val="nil"/>
              <w:left w:val="nil"/>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включ</w:t>
            </w:r>
            <w:proofErr w:type="spellEnd"/>
            <w:r>
              <w:rPr>
                <w:color w:val="2D2D2D"/>
                <w:sz w:val="15"/>
                <w:szCs w:val="15"/>
              </w:rPr>
              <w:t>.</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0,012</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D30CB0" w:rsidTr="00D30CB0">
        <w:tc>
          <w:tcPr>
            <w:tcW w:w="554" w:type="dxa"/>
            <w:tcBorders>
              <w:top w:val="nil"/>
              <w:left w:val="single" w:sz="4" w:space="0" w:color="000000"/>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Св.</w:t>
            </w:r>
          </w:p>
        </w:tc>
        <w:tc>
          <w:tcPr>
            <w:tcW w:w="924" w:type="dxa"/>
            <w:tcBorders>
              <w:top w:val="nil"/>
              <w:left w:val="nil"/>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0,040</w:t>
            </w:r>
          </w:p>
        </w:tc>
        <w:tc>
          <w:tcPr>
            <w:tcW w:w="554" w:type="dxa"/>
            <w:tcBorders>
              <w:top w:val="nil"/>
              <w:left w:val="nil"/>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0,100</w:t>
            </w:r>
          </w:p>
        </w:tc>
        <w:tc>
          <w:tcPr>
            <w:tcW w:w="1294" w:type="dxa"/>
            <w:tcBorders>
              <w:top w:val="nil"/>
              <w:left w:val="nil"/>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0,021</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D30CB0" w:rsidTr="00D30CB0">
        <w:tc>
          <w:tcPr>
            <w:tcW w:w="554" w:type="dxa"/>
            <w:tcBorders>
              <w:top w:val="nil"/>
              <w:left w:val="single" w:sz="4" w:space="0" w:color="000000"/>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0,10</w:t>
            </w:r>
          </w:p>
        </w:tc>
        <w:tc>
          <w:tcPr>
            <w:tcW w:w="554" w:type="dxa"/>
            <w:tcBorders>
              <w:top w:val="nil"/>
              <w:left w:val="nil"/>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0,20</w:t>
            </w:r>
          </w:p>
        </w:tc>
        <w:tc>
          <w:tcPr>
            <w:tcW w:w="1294" w:type="dxa"/>
            <w:tcBorders>
              <w:top w:val="nil"/>
              <w:left w:val="nil"/>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D30CB0" w:rsidTr="00D30CB0">
        <w:tc>
          <w:tcPr>
            <w:tcW w:w="425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Кислорода</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rPr>
                <w:sz w:val="24"/>
                <w:szCs w:val="24"/>
              </w:rPr>
            </w:pP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30CB0" w:rsidRDefault="00D30CB0">
            <w:pPr>
              <w:rPr>
                <w:sz w:val="24"/>
                <w:szCs w:val="24"/>
              </w:rPr>
            </w:pPr>
          </w:p>
        </w:tc>
      </w:tr>
      <w:tr w:rsidR="00D30CB0" w:rsidTr="00D30CB0">
        <w:tc>
          <w:tcPr>
            <w:tcW w:w="4250"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textAlignment w:val="baseline"/>
              <w:rPr>
                <w:color w:val="2D2D2D"/>
                <w:sz w:val="15"/>
                <w:szCs w:val="15"/>
              </w:rPr>
            </w:pPr>
            <w:r>
              <w:rPr>
                <w:color w:val="2D2D2D"/>
                <w:sz w:val="15"/>
                <w:szCs w:val="15"/>
              </w:rPr>
              <w:t>От 0,18 до 40</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30CB0" w:rsidRDefault="00D30CB0">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r>
    </w:tbl>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4.2.4.6. Контроль точности результатов определения влаги - по </w:t>
      </w:r>
      <w:r w:rsidRPr="00D30CB0">
        <w:rPr>
          <w:rFonts w:ascii="Arial" w:hAnsi="Arial" w:cs="Arial"/>
          <w:color w:val="2D2D2D"/>
          <w:spacing w:val="1"/>
          <w:sz w:val="15"/>
          <w:szCs w:val="15"/>
        </w:rPr>
        <w:t>ГОСТ 25086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Контроль точности результатов определения кислорода осуществляют по СОС.</w:t>
      </w:r>
      <w:r>
        <w:rPr>
          <w:rFonts w:ascii="Arial" w:hAnsi="Arial" w:cs="Arial"/>
          <w:color w:val="2D2D2D"/>
          <w:spacing w:val="1"/>
          <w:sz w:val="15"/>
          <w:szCs w:val="15"/>
        </w:rPr>
        <w:br/>
      </w:r>
      <w:r>
        <w:rPr>
          <w:rFonts w:ascii="Arial" w:hAnsi="Arial" w:cs="Arial"/>
          <w:color w:val="2D2D2D"/>
          <w:spacing w:val="1"/>
          <w:sz w:val="15"/>
          <w:szCs w:val="15"/>
        </w:rPr>
        <w:br/>
        <w:t>Анализ СОС проводят один раз в месяц одновременно с партией проб.</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4.2-4.2.4.6.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4).</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Массовую долю железа, кремния, никеля и меди определяют спектральным анализом по ГОСТ 8776*.</w:t>
      </w:r>
      <w:r>
        <w:rPr>
          <w:rFonts w:ascii="Arial" w:hAnsi="Arial" w:cs="Arial"/>
          <w:color w:val="2D2D2D"/>
          <w:spacing w:val="1"/>
          <w:sz w:val="15"/>
          <w:szCs w:val="15"/>
        </w:rPr>
        <w:br/>
        <w:t>______________</w:t>
      </w:r>
      <w:r>
        <w:rPr>
          <w:rFonts w:ascii="Arial" w:hAnsi="Arial" w:cs="Arial"/>
          <w:color w:val="2D2D2D"/>
          <w:spacing w:val="1"/>
          <w:sz w:val="15"/>
          <w:szCs w:val="15"/>
        </w:rPr>
        <w:br/>
        <w:t>* На территории Российской Федерации действует </w:t>
      </w:r>
      <w:r w:rsidRPr="00D30CB0">
        <w:rPr>
          <w:rFonts w:ascii="Arial" w:hAnsi="Arial" w:cs="Arial"/>
          <w:color w:val="2D2D2D"/>
          <w:spacing w:val="1"/>
          <w:sz w:val="15"/>
          <w:szCs w:val="15"/>
        </w:rPr>
        <w:t>ГОСТ 8776-99</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Массовую долю углерода определяют по ГОСТ 741.3*.</w:t>
      </w:r>
      <w:r>
        <w:rPr>
          <w:rFonts w:ascii="Arial" w:hAnsi="Arial" w:cs="Arial"/>
          <w:color w:val="2D2D2D"/>
          <w:spacing w:val="1"/>
          <w:sz w:val="15"/>
          <w:szCs w:val="15"/>
        </w:rPr>
        <w:br/>
        <w:t>______________</w:t>
      </w:r>
      <w:r>
        <w:rPr>
          <w:rFonts w:ascii="Arial" w:hAnsi="Arial" w:cs="Arial"/>
          <w:color w:val="2D2D2D"/>
          <w:spacing w:val="1"/>
          <w:sz w:val="15"/>
          <w:szCs w:val="15"/>
        </w:rPr>
        <w:br/>
        <w:t>* На территории Российской Федерации действует </w:t>
      </w:r>
      <w:r w:rsidRPr="00D30CB0">
        <w:rPr>
          <w:rFonts w:ascii="Arial" w:hAnsi="Arial" w:cs="Arial"/>
          <w:color w:val="2D2D2D"/>
          <w:spacing w:val="1"/>
          <w:sz w:val="15"/>
          <w:szCs w:val="15"/>
        </w:rPr>
        <w:t>ГОСТ 13047.6-2002</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Массовую долю кобальта находят по разности 100% и суммы содержания нормируемых примесей, приведенных в табл.1.</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 3, 4).</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Гранулометрический состав кобальтового порошка определяют по </w:t>
      </w:r>
      <w:r w:rsidRPr="00D30CB0">
        <w:rPr>
          <w:rFonts w:ascii="Arial" w:hAnsi="Arial" w:cs="Arial"/>
          <w:color w:val="2D2D2D"/>
          <w:spacing w:val="1"/>
          <w:sz w:val="15"/>
          <w:szCs w:val="15"/>
        </w:rPr>
        <w:t>ГОСТ 18318</w:t>
      </w:r>
      <w:r>
        <w:rPr>
          <w:rFonts w:ascii="Arial" w:hAnsi="Arial" w:cs="Arial"/>
          <w:color w:val="2D2D2D"/>
          <w:spacing w:val="1"/>
          <w:sz w:val="15"/>
          <w:szCs w:val="15"/>
        </w:rPr>
        <w:t> со следующим дополнением: допускается определение гранулометрического состава на сетках сит по </w:t>
      </w:r>
      <w:r w:rsidRPr="00D30CB0">
        <w:rPr>
          <w:rFonts w:ascii="Arial" w:hAnsi="Arial" w:cs="Arial"/>
          <w:color w:val="2D2D2D"/>
          <w:spacing w:val="1"/>
          <w:sz w:val="15"/>
          <w:szCs w:val="15"/>
        </w:rPr>
        <w:t>ГОСТ 6613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Насыпную плотность кобальтового порошка определяют по </w:t>
      </w:r>
      <w:r w:rsidRPr="00D30CB0">
        <w:rPr>
          <w:rFonts w:ascii="Arial" w:hAnsi="Arial" w:cs="Arial"/>
          <w:color w:val="2D2D2D"/>
          <w:spacing w:val="1"/>
          <w:sz w:val="15"/>
          <w:szCs w:val="15"/>
        </w:rPr>
        <w:t>ГОСТ 19440</w:t>
      </w:r>
      <w:r>
        <w:rPr>
          <w:rFonts w:ascii="Arial" w:hAnsi="Arial" w:cs="Arial"/>
          <w:color w:val="2D2D2D"/>
          <w:spacing w:val="1"/>
          <w:sz w:val="15"/>
          <w:szCs w:val="15"/>
        </w:rPr>
        <w:t>.</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4.6. Допускается при определении массовых долей примесей, влаги и кислорода, гранулометрического состава и насыпной плотности кобальтового порошка применять другие методы, по </w:t>
      </w:r>
      <w:proofErr w:type="gramStart"/>
      <w:r>
        <w:rPr>
          <w:rFonts w:ascii="Arial" w:hAnsi="Arial" w:cs="Arial"/>
          <w:color w:val="2D2D2D"/>
          <w:spacing w:val="1"/>
          <w:sz w:val="15"/>
          <w:szCs w:val="15"/>
        </w:rPr>
        <w:t>точности</w:t>
      </w:r>
      <w:proofErr w:type="gramEnd"/>
      <w:r>
        <w:rPr>
          <w:rFonts w:ascii="Arial" w:hAnsi="Arial" w:cs="Arial"/>
          <w:color w:val="2D2D2D"/>
          <w:spacing w:val="1"/>
          <w:sz w:val="15"/>
          <w:szCs w:val="15"/>
        </w:rPr>
        <w:t xml:space="preserve"> не уступающие указанным в стандарте. При разногласиях в оценке качества кобальтового порошка используются методы, указанные в стандарте.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 4).</w:t>
      </w:r>
      <w:r>
        <w:rPr>
          <w:rFonts w:ascii="Arial" w:hAnsi="Arial" w:cs="Arial"/>
          <w:color w:val="2D2D2D"/>
          <w:spacing w:val="1"/>
          <w:sz w:val="15"/>
          <w:szCs w:val="15"/>
        </w:rPr>
        <w:br/>
      </w:r>
      <w:r>
        <w:rPr>
          <w:rFonts w:ascii="Arial" w:hAnsi="Arial" w:cs="Arial"/>
          <w:color w:val="2D2D2D"/>
          <w:spacing w:val="1"/>
          <w:sz w:val="15"/>
          <w:szCs w:val="15"/>
        </w:rPr>
        <w:br/>
      </w:r>
    </w:p>
    <w:p w:rsidR="00D30CB0" w:rsidRDefault="00D30CB0" w:rsidP="00D30CB0">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УПАКОВКА, МАРКИРОВКА, ТРАНСПОРТИРОВАНИЕ И ХРАНЕНИЕ</w:t>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Кобальтовый порошок упаковывают в металлические банки по ГОСТ 6128* или в полиэтиленовые бутыли вместимостью не более 10 дм</w:t>
      </w:r>
      <w:r>
        <w:rPr>
          <w:rFonts w:ascii="Arial" w:hAnsi="Arial" w:cs="Arial"/>
          <w:color w:val="2D2D2D"/>
          <w:spacing w:val="1"/>
          <w:sz w:val="15"/>
          <w:szCs w:val="15"/>
        </w:rPr>
        <w:pict>
          <v:shape id="_x0000_i1038" type="#_x0000_t75" alt="ГОСТ 9721-79 Порошок кобальтовый. Технические условия (с Изменениями N 1, 2, 3, 4)" style="width:8.05pt;height:17.2pt"/>
        </w:pict>
      </w:r>
      <w:r>
        <w:rPr>
          <w:rFonts w:ascii="Arial" w:hAnsi="Arial" w:cs="Arial"/>
          <w:color w:val="2D2D2D"/>
          <w:spacing w:val="1"/>
          <w:sz w:val="15"/>
          <w:szCs w:val="15"/>
        </w:rPr>
        <w:t> по нормативно-технической документации. По согласованию изготовителя с потребителем допускается упаковка порошка в другие виды тары, изготовленные по нормативно-технической документации.</w:t>
      </w:r>
      <w:r>
        <w:rPr>
          <w:rFonts w:ascii="Arial" w:hAnsi="Arial" w:cs="Arial"/>
          <w:color w:val="2D2D2D"/>
          <w:spacing w:val="1"/>
          <w:sz w:val="15"/>
          <w:szCs w:val="15"/>
        </w:rPr>
        <w:br/>
        <w:t>______________</w:t>
      </w:r>
      <w:r>
        <w:rPr>
          <w:rFonts w:ascii="Arial" w:hAnsi="Arial" w:cs="Arial"/>
          <w:color w:val="2D2D2D"/>
          <w:spacing w:val="1"/>
          <w:sz w:val="15"/>
          <w:szCs w:val="15"/>
        </w:rPr>
        <w:br/>
        <w:t>* На территории Российской Федерации действует </w:t>
      </w:r>
      <w:r w:rsidRPr="00D30CB0">
        <w:rPr>
          <w:rFonts w:ascii="Arial" w:hAnsi="Arial" w:cs="Arial"/>
          <w:color w:val="2D2D2D"/>
          <w:spacing w:val="1"/>
          <w:sz w:val="15"/>
          <w:szCs w:val="15"/>
        </w:rPr>
        <w:t>ГОСТ 6128-81</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Упаковка должна быть герметичной. Банки и бутыли заполняют порошком возможно плотнее с целью уменьшения объема воздуха над порошком.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Банки и бутыли дополнительно упаковывают в плотные деревянные ящики с крышками типов I-IV по </w:t>
      </w:r>
      <w:r w:rsidRPr="00D30CB0">
        <w:rPr>
          <w:rFonts w:ascii="Arial" w:hAnsi="Arial" w:cs="Arial"/>
          <w:color w:val="2D2D2D"/>
          <w:spacing w:val="1"/>
          <w:sz w:val="15"/>
          <w:szCs w:val="15"/>
        </w:rPr>
        <w:t>ГОСТ 2991</w:t>
      </w:r>
      <w:r>
        <w:rPr>
          <w:rFonts w:ascii="Arial" w:hAnsi="Arial" w:cs="Arial"/>
          <w:color w:val="2D2D2D"/>
          <w:spacing w:val="1"/>
          <w:sz w:val="15"/>
          <w:szCs w:val="15"/>
        </w:rPr>
        <w:t>, размеры которых по </w:t>
      </w:r>
      <w:r w:rsidRPr="00D30CB0">
        <w:rPr>
          <w:rFonts w:ascii="Arial" w:hAnsi="Arial" w:cs="Arial"/>
          <w:color w:val="2D2D2D"/>
          <w:spacing w:val="1"/>
          <w:sz w:val="15"/>
          <w:szCs w:val="15"/>
        </w:rPr>
        <w:t>ГОСТ 21140</w:t>
      </w:r>
      <w:r>
        <w:rPr>
          <w:rFonts w:ascii="Arial" w:hAnsi="Arial" w:cs="Arial"/>
          <w:color w:val="2D2D2D"/>
          <w:spacing w:val="1"/>
          <w:sz w:val="15"/>
          <w:szCs w:val="15"/>
        </w:rPr>
        <w:t>. Бутыли упаковывают с использованием прокладочных материалов или в ящики с перегородками.</w:t>
      </w:r>
      <w:r>
        <w:rPr>
          <w:rFonts w:ascii="Arial" w:hAnsi="Arial" w:cs="Arial"/>
          <w:color w:val="2D2D2D"/>
          <w:spacing w:val="1"/>
          <w:sz w:val="15"/>
          <w:szCs w:val="15"/>
        </w:rPr>
        <w:br/>
      </w:r>
      <w:r>
        <w:rPr>
          <w:rFonts w:ascii="Arial" w:hAnsi="Arial" w:cs="Arial"/>
          <w:color w:val="2D2D2D"/>
          <w:spacing w:val="1"/>
          <w:sz w:val="15"/>
          <w:szCs w:val="15"/>
        </w:rPr>
        <w:br/>
        <w:t>Ящики должны быть обтянуты поясами из стальной упаковочной ленты по </w:t>
      </w:r>
      <w:r w:rsidRPr="00D30CB0">
        <w:rPr>
          <w:rFonts w:ascii="Arial" w:hAnsi="Arial" w:cs="Arial"/>
          <w:color w:val="2D2D2D"/>
          <w:spacing w:val="1"/>
          <w:sz w:val="15"/>
          <w:szCs w:val="15"/>
        </w:rPr>
        <w:t>ГОСТ 503</w:t>
      </w:r>
      <w:r>
        <w:rPr>
          <w:rFonts w:ascii="Arial" w:hAnsi="Arial" w:cs="Arial"/>
          <w:color w:val="2D2D2D"/>
          <w:spacing w:val="1"/>
          <w:sz w:val="15"/>
          <w:szCs w:val="15"/>
        </w:rPr>
        <w:t>, или по </w:t>
      </w:r>
      <w:r w:rsidRPr="00D30CB0">
        <w:rPr>
          <w:rFonts w:ascii="Arial" w:hAnsi="Arial" w:cs="Arial"/>
          <w:color w:val="2D2D2D"/>
          <w:spacing w:val="1"/>
          <w:sz w:val="15"/>
          <w:szCs w:val="15"/>
        </w:rPr>
        <w:t>ГОСТ 3560</w:t>
      </w:r>
      <w:r>
        <w:rPr>
          <w:rFonts w:ascii="Arial" w:hAnsi="Arial" w:cs="Arial"/>
          <w:color w:val="2D2D2D"/>
          <w:spacing w:val="1"/>
          <w:sz w:val="15"/>
          <w:szCs w:val="15"/>
        </w:rPr>
        <w:t>, концы которой скрепляются в замок.</w:t>
      </w:r>
      <w:r>
        <w:rPr>
          <w:rFonts w:ascii="Arial" w:hAnsi="Arial" w:cs="Arial"/>
          <w:color w:val="2D2D2D"/>
          <w:spacing w:val="1"/>
          <w:sz w:val="15"/>
          <w:szCs w:val="15"/>
        </w:rPr>
        <w:br/>
      </w:r>
      <w:r>
        <w:rPr>
          <w:rFonts w:ascii="Arial" w:hAnsi="Arial" w:cs="Arial"/>
          <w:color w:val="2D2D2D"/>
          <w:spacing w:val="1"/>
          <w:sz w:val="15"/>
          <w:szCs w:val="15"/>
        </w:rPr>
        <w:br/>
        <w:t>При транспортировании порошка в районы Крайнего Севера и в отдаленные районы тара и упаковка должны соответствовать требованиям ГОСТ 15846*.</w:t>
      </w:r>
      <w:r>
        <w:rPr>
          <w:rFonts w:ascii="Arial" w:hAnsi="Arial" w:cs="Arial"/>
          <w:color w:val="2D2D2D"/>
          <w:spacing w:val="1"/>
          <w:sz w:val="15"/>
          <w:szCs w:val="15"/>
        </w:rPr>
        <w:br/>
        <w:t>______________</w:t>
      </w:r>
      <w:r>
        <w:rPr>
          <w:rFonts w:ascii="Arial" w:hAnsi="Arial" w:cs="Arial"/>
          <w:color w:val="2D2D2D"/>
          <w:spacing w:val="1"/>
          <w:sz w:val="15"/>
          <w:szCs w:val="15"/>
        </w:rPr>
        <w:br/>
        <w:t>* На территории Российской Федерации действует </w:t>
      </w:r>
      <w:r w:rsidRPr="00D30CB0">
        <w:rPr>
          <w:rFonts w:ascii="Arial" w:hAnsi="Arial" w:cs="Arial"/>
          <w:color w:val="2D2D2D"/>
          <w:spacing w:val="1"/>
          <w:sz w:val="15"/>
          <w:szCs w:val="15"/>
        </w:rPr>
        <w:t>ГОСТ 15846-2002</w:t>
      </w:r>
      <w:r>
        <w:rPr>
          <w:rFonts w:ascii="Arial" w:hAnsi="Arial" w:cs="Arial"/>
          <w:color w:val="2D2D2D"/>
          <w:spacing w:val="1"/>
          <w:sz w:val="15"/>
          <w:szCs w:val="15"/>
        </w:rPr>
        <w:t>. - Примечание изготовителя базы данных. </w:t>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Масса брутто деревянного ящика не должна превышать 50 кг. По согласованию изготовителя с потребителем допускается масса брутто деревянного ящика не более 80 кг.</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5.4. Банки и бутыли маркируют при помощи бумажных ярлыков с нанесением следующих данных:</w:t>
      </w:r>
      <w:r>
        <w:rPr>
          <w:rFonts w:ascii="Arial" w:hAnsi="Arial" w:cs="Arial"/>
          <w:color w:val="2D2D2D"/>
          <w:spacing w:val="1"/>
          <w:sz w:val="15"/>
          <w:szCs w:val="15"/>
        </w:rPr>
        <w:br/>
      </w:r>
      <w:r>
        <w:rPr>
          <w:rFonts w:ascii="Arial" w:hAnsi="Arial" w:cs="Arial"/>
          <w:color w:val="2D2D2D"/>
          <w:spacing w:val="1"/>
          <w:sz w:val="15"/>
          <w:szCs w:val="15"/>
        </w:rPr>
        <w:br/>
        <w:t>товарного знака или товарного знака и условного обозначения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наименования и марки продукта;</w:t>
      </w:r>
      <w:r>
        <w:rPr>
          <w:rFonts w:ascii="Arial" w:hAnsi="Arial" w:cs="Arial"/>
          <w:color w:val="2D2D2D"/>
          <w:spacing w:val="1"/>
          <w:sz w:val="15"/>
          <w:szCs w:val="15"/>
        </w:rPr>
        <w:br/>
      </w:r>
      <w:r>
        <w:rPr>
          <w:rFonts w:ascii="Arial" w:hAnsi="Arial" w:cs="Arial"/>
          <w:color w:val="2D2D2D"/>
          <w:spacing w:val="1"/>
          <w:sz w:val="15"/>
          <w:szCs w:val="15"/>
        </w:rPr>
        <w:br/>
        <w:t>номера партии;</w:t>
      </w:r>
      <w:r>
        <w:rPr>
          <w:rFonts w:ascii="Arial" w:hAnsi="Arial" w:cs="Arial"/>
          <w:color w:val="2D2D2D"/>
          <w:spacing w:val="1"/>
          <w:sz w:val="15"/>
          <w:szCs w:val="15"/>
        </w:rPr>
        <w:br/>
      </w:r>
      <w:r>
        <w:rPr>
          <w:rFonts w:ascii="Arial" w:hAnsi="Arial" w:cs="Arial"/>
          <w:color w:val="2D2D2D"/>
          <w:spacing w:val="1"/>
          <w:sz w:val="15"/>
          <w:szCs w:val="15"/>
        </w:rPr>
        <w:br/>
        <w:t>номера банки (бутыли);</w:t>
      </w:r>
      <w:r>
        <w:rPr>
          <w:rFonts w:ascii="Arial" w:hAnsi="Arial" w:cs="Arial"/>
          <w:color w:val="2D2D2D"/>
          <w:spacing w:val="1"/>
          <w:sz w:val="15"/>
          <w:szCs w:val="15"/>
        </w:rPr>
        <w:br/>
      </w:r>
      <w:r>
        <w:rPr>
          <w:rFonts w:ascii="Arial" w:hAnsi="Arial" w:cs="Arial"/>
          <w:color w:val="2D2D2D"/>
          <w:spacing w:val="1"/>
          <w:sz w:val="15"/>
          <w:szCs w:val="15"/>
        </w:rPr>
        <w:br/>
        <w:t>массы нетто порошка;</w:t>
      </w:r>
      <w:r>
        <w:rPr>
          <w:rFonts w:ascii="Arial" w:hAnsi="Arial" w:cs="Arial"/>
          <w:color w:val="2D2D2D"/>
          <w:spacing w:val="1"/>
          <w:sz w:val="15"/>
          <w:szCs w:val="15"/>
        </w:rPr>
        <w:br/>
      </w:r>
      <w:r>
        <w:rPr>
          <w:rFonts w:ascii="Arial" w:hAnsi="Arial" w:cs="Arial"/>
          <w:color w:val="2D2D2D"/>
          <w:spacing w:val="1"/>
          <w:sz w:val="15"/>
          <w:szCs w:val="15"/>
        </w:rPr>
        <w:br/>
        <w:t>даты выпуска;</w:t>
      </w:r>
      <w:r>
        <w:rPr>
          <w:rFonts w:ascii="Arial" w:hAnsi="Arial" w:cs="Arial"/>
          <w:color w:val="2D2D2D"/>
          <w:spacing w:val="1"/>
          <w:sz w:val="15"/>
          <w:szCs w:val="15"/>
        </w:rPr>
        <w:br/>
      </w:r>
      <w:r>
        <w:rPr>
          <w:rFonts w:ascii="Arial" w:hAnsi="Arial" w:cs="Arial"/>
          <w:color w:val="2D2D2D"/>
          <w:spacing w:val="1"/>
          <w:sz w:val="15"/>
          <w:szCs w:val="15"/>
        </w:rPr>
        <w:br/>
        <w:t>обозначения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знака "Герметичная упаковка".</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 Транспортная маркировка - по </w:t>
      </w:r>
      <w:r w:rsidRPr="00D30CB0">
        <w:rPr>
          <w:rFonts w:ascii="Arial" w:hAnsi="Arial" w:cs="Arial"/>
          <w:color w:val="2D2D2D"/>
          <w:spacing w:val="1"/>
          <w:sz w:val="15"/>
          <w:szCs w:val="15"/>
        </w:rPr>
        <w:t>ГОСТ 14192</w:t>
      </w:r>
      <w:r>
        <w:rPr>
          <w:rFonts w:ascii="Arial" w:hAnsi="Arial" w:cs="Arial"/>
          <w:color w:val="2D2D2D"/>
          <w:spacing w:val="1"/>
          <w:sz w:val="15"/>
          <w:szCs w:val="15"/>
        </w:rPr>
        <w:t>. Знак опасности - по </w:t>
      </w:r>
      <w:r w:rsidRPr="00D30CB0">
        <w:rPr>
          <w:rFonts w:ascii="Arial" w:hAnsi="Arial" w:cs="Arial"/>
          <w:color w:val="2D2D2D"/>
          <w:spacing w:val="1"/>
          <w:sz w:val="15"/>
          <w:szCs w:val="15"/>
        </w:rPr>
        <w:t>ГОСТ 19433</w:t>
      </w:r>
      <w:r>
        <w:rPr>
          <w:rFonts w:ascii="Arial" w:hAnsi="Arial" w:cs="Arial"/>
          <w:color w:val="2D2D2D"/>
          <w:spacing w:val="1"/>
          <w:sz w:val="15"/>
          <w:szCs w:val="15"/>
        </w:rPr>
        <w:t>, класс 9, категория 915, классификационный шифр 9153.</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4).</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 Упакованный порошок перевозят всеми видами транспорта в крытых транспортных средствах в соответствии с правилами перевозки грузов, действующими на транспорте данного вида.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5.7. Порошок должен храниться в закрытых отапливаемых помещениях в упаковке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r>
    </w:p>
    <w:p w:rsidR="00D30CB0" w:rsidRDefault="00D30CB0" w:rsidP="00D30CB0">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ГАРАНТИИ ИЗГОТОВИТЕЛЯ</w:t>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Изготовитель должен гарантировать соответствие кобальтового порошка требованиям настоящего стандарта при соблюдении условий транспортирования и хранения.</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Гарантийный срок хранения кобальтового порошка 1 год со дня изготовления.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D30CB0" w:rsidRDefault="00D30CB0" w:rsidP="00D30CB0">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t xml:space="preserve">6.3.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177C25" w:rsidRPr="00D30CB0" w:rsidRDefault="00177C25" w:rsidP="00D30CB0">
      <w:pPr>
        <w:rPr>
          <w:szCs w:val="15"/>
        </w:rPr>
      </w:pPr>
    </w:p>
    <w:sectPr w:rsidR="00177C25" w:rsidRPr="00D30CB0" w:rsidSect="0095551E">
      <w:footerReference w:type="default" r:id="rId8"/>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783909"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DD5449"/>
    <w:multiLevelType w:val="multilevel"/>
    <w:tmpl w:val="7068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66330"/>
    <w:multiLevelType w:val="multilevel"/>
    <w:tmpl w:val="D600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608AA"/>
    <w:multiLevelType w:val="multilevel"/>
    <w:tmpl w:val="3F96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64656"/>
    <w:multiLevelType w:val="multilevel"/>
    <w:tmpl w:val="29F4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8F051C"/>
    <w:multiLevelType w:val="multilevel"/>
    <w:tmpl w:val="7FEE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3717EA"/>
    <w:multiLevelType w:val="multilevel"/>
    <w:tmpl w:val="6006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567660"/>
    <w:multiLevelType w:val="multilevel"/>
    <w:tmpl w:val="4A4C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4C4DE0"/>
    <w:multiLevelType w:val="multilevel"/>
    <w:tmpl w:val="AFDE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2"/>
  </w:num>
  <w:num w:numId="3">
    <w:abstractNumId w:val="23"/>
  </w:num>
  <w:num w:numId="4">
    <w:abstractNumId w:val="4"/>
  </w:num>
  <w:num w:numId="5">
    <w:abstractNumId w:val="17"/>
  </w:num>
  <w:num w:numId="6">
    <w:abstractNumId w:val="15"/>
  </w:num>
  <w:num w:numId="7">
    <w:abstractNumId w:val="14"/>
  </w:num>
  <w:num w:numId="8">
    <w:abstractNumId w:val="5"/>
  </w:num>
  <w:num w:numId="9">
    <w:abstractNumId w:val="20"/>
  </w:num>
  <w:num w:numId="10">
    <w:abstractNumId w:val="9"/>
  </w:num>
  <w:num w:numId="11">
    <w:abstractNumId w:val="10"/>
  </w:num>
  <w:num w:numId="12">
    <w:abstractNumId w:val="13"/>
  </w:num>
  <w:num w:numId="13">
    <w:abstractNumId w:val="19"/>
  </w:num>
  <w:num w:numId="14">
    <w:abstractNumId w:val="12"/>
  </w:num>
  <w:num w:numId="15">
    <w:abstractNumId w:val="3"/>
  </w:num>
  <w:num w:numId="16">
    <w:abstractNumId w:val="21"/>
  </w:num>
  <w:num w:numId="17">
    <w:abstractNumId w:val="0"/>
  </w:num>
  <w:num w:numId="18">
    <w:abstractNumId w:val="1"/>
  </w:num>
  <w:num w:numId="19">
    <w:abstractNumId w:val="2"/>
  </w:num>
  <w:num w:numId="20">
    <w:abstractNumId w:val="16"/>
  </w:num>
  <w:num w:numId="21">
    <w:abstractNumId w:val="18"/>
  </w:num>
  <w:num w:numId="22">
    <w:abstractNumId w:val="8"/>
  </w:num>
  <w:num w:numId="23">
    <w:abstractNumId w:val="24"/>
  </w:num>
  <w:num w:numId="24">
    <w:abstractNumId w:val="26"/>
  </w:num>
  <w:num w:numId="25">
    <w:abstractNumId w:val="7"/>
  </w:num>
  <w:num w:numId="26">
    <w:abstractNumId w:val="6"/>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77A04"/>
    <w:rsid w:val="0059308D"/>
    <w:rsid w:val="006B6B83"/>
    <w:rsid w:val="007214CA"/>
    <w:rsid w:val="00783909"/>
    <w:rsid w:val="007E5D19"/>
    <w:rsid w:val="008E615F"/>
    <w:rsid w:val="0095551E"/>
    <w:rsid w:val="00A716F7"/>
    <w:rsid w:val="00A9165C"/>
    <w:rsid w:val="00AA6FD4"/>
    <w:rsid w:val="00B4381A"/>
    <w:rsid w:val="00C91654"/>
    <w:rsid w:val="00CE3CDF"/>
    <w:rsid w:val="00D30CB0"/>
    <w:rsid w:val="00D445F4"/>
    <w:rsid w:val="00D637C8"/>
    <w:rsid w:val="00DD1738"/>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04407016">
      <w:bodyDiv w:val="1"/>
      <w:marLeft w:val="0"/>
      <w:marRight w:val="0"/>
      <w:marTop w:val="0"/>
      <w:marBottom w:val="0"/>
      <w:divBdr>
        <w:top w:val="none" w:sz="0" w:space="0" w:color="auto"/>
        <w:left w:val="none" w:sz="0" w:space="0" w:color="auto"/>
        <w:bottom w:val="none" w:sz="0" w:space="0" w:color="auto"/>
        <w:right w:val="none" w:sz="0" w:space="0" w:color="auto"/>
      </w:divBdr>
      <w:divsChild>
        <w:div w:id="2142113861">
          <w:marLeft w:val="215"/>
          <w:marRight w:val="215"/>
          <w:marTop w:val="0"/>
          <w:marBottom w:val="0"/>
          <w:divBdr>
            <w:top w:val="none" w:sz="0" w:space="0" w:color="auto"/>
            <w:left w:val="none" w:sz="0" w:space="0" w:color="auto"/>
            <w:bottom w:val="none" w:sz="0" w:space="0" w:color="auto"/>
            <w:right w:val="none" w:sz="0" w:space="0" w:color="auto"/>
          </w:divBdr>
          <w:divsChild>
            <w:div w:id="1390767588">
              <w:marLeft w:val="0"/>
              <w:marRight w:val="0"/>
              <w:marTop w:val="107"/>
              <w:marBottom w:val="150"/>
              <w:divBdr>
                <w:top w:val="none" w:sz="0" w:space="0" w:color="auto"/>
                <w:left w:val="none" w:sz="0" w:space="0" w:color="auto"/>
                <w:bottom w:val="none" w:sz="0" w:space="0" w:color="auto"/>
                <w:right w:val="none" w:sz="0" w:space="0" w:color="auto"/>
              </w:divBdr>
              <w:divsChild>
                <w:div w:id="339701277">
                  <w:marLeft w:val="11"/>
                  <w:marRight w:val="11"/>
                  <w:marTop w:val="11"/>
                  <w:marBottom w:val="11"/>
                  <w:divBdr>
                    <w:top w:val="none" w:sz="0" w:space="0" w:color="auto"/>
                    <w:left w:val="none" w:sz="0" w:space="0" w:color="auto"/>
                    <w:bottom w:val="none" w:sz="0" w:space="0" w:color="auto"/>
                    <w:right w:val="none" w:sz="0" w:space="0" w:color="auto"/>
                  </w:divBdr>
                  <w:divsChild>
                    <w:div w:id="1734155066">
                      <w:marLeft w:val="0"/>
                      <w:marRight w:val="0"/>
                      <w:marTop w:val="0"/>
                      <w:marBottom w:val="0"/>
                      <w:divBdr>
                        <w:top w:val="none" w:sz="0" w:space="0" w:color="auto"/>
                        <w:left w:val="none" w:sz="0" w:space="0" w:color="auto"/>
                        <w:bottom w:val="none" w:sz="0" w:space="0" w:color="auto"/>
                        <w:right w:val="none" w:sz="0" w:space="0" w:color="auto"/>
                      </w:divBdr>
                    </w:div>
                    <w:div w:id="322587327">
                      <w:marLeft w:val="0"/>
                      <w:marRight w:val="0"/>
                      <w:marTop w:val="0"/>
                      <w:marBottom w:val="0"/>
                      <w:divBdr>
                        <w:top w:val="none" w:sz="0" w:space="0" w:color="auto"/>
                        <w:left w:val="none" w:sz="0" w:space="0" w:color="auto"/>
                        <w:bottom w:val="none" w:sz="0" w:space="0" w:color="auto"/>
                        <w:right w:val="none" w:sz="0" w:space="0" w:color="auto"/>
                      </w:divBdr>
                    </w:div>
                  </w:divsChild>
                </w:div>
                <w:div w:id="187257153">
                  <w:marLeft w:val="0"/>
                  <w:marRight w:val="0"/>
                  <w:marTop w:val="0"/>
                  <w:marBottom w:val="0"/>
                  <w:divBdr>
                    <w:top w:val="none" w:sz="0" w:space="0" w:color="auto"/>
                    <w:left w:val="none" w:sz="0" w:space="0" w:color="auto"/>
                    <w:bottom w:val="none" w:sz="0" w:space="0" w:color="auto"/>
                    <w:right w:val="none" w:sz="0" w:space="0" w:color="auto"/>
                  </w:divBdr>
                  <w:divsChild>
                    <w:div w:id="561058124">
                      <w:marLeft w:val="0"/>
                      <w:marRight w:val="0"/>
                      <w:marTop w:val="0"/>
                      <w:marBottom w:val="0"/>
                      <w:divBdr>
                        <w:top w:val="none" w:sz="0" w:space="0" w:color="auto"/>
                        <w:left w:val="none" w:sz="0" w:space="0" w:color="auto"/>
                        <w:bottom w:val="none" w:sz="0" w:space="0" w:color="auto"/>
                        <w:right w:val="none" w:sz="0" w:space="0" w:color="auto"/>
                      </w:divBdr>
                      <w:divsChild>
                        <w:div w:id="680930111">
                          <w:marLeft w:val="0"/>
                          <w:marRight w:val="0"/>
                          <w:marTop w:val="0"/>
                          <w:marBottom w:val="0"/>
                          <w:divBdr>
                            <w:top w:val="none" w:sz="0" w:space="0" w:color="auto"/>
                            <w:left w:val="none" w:sz="0" w:space="0" w:color="auto"/>
                            <w:bottom w:val="none" w:sz="0" w:space="0" w:color="auto"/>
                            <w:right w:val="none" w:sz="0" w:space="0" w:color="auto"/>
                          </w:divBdr>
                          <w:divsChild>
                            <w:div w:id="2040036315">
                              <w:marLeft w:val="5663"/>
                              <w:marRight w:val="0"/>
                              <w:marTop w:val="0"/>
                              <w:marBottom w:val="0"/>
                              <w:divBdr>
                                <w:top w:val="none" w:sz="0" w:space="0" w:color="auto"/>
                                <w:left w:val="none" w:sz="0" w:space="0" w:color="auto"/>
                                <w:bottom w:val="none" w:sz="0" w:space="0" w:color="auto"/>
                                <w:right w:val="none" w:sz="0" w:space="0" w:color="auto"/>
                              </w:divBdr>
                            </w:div>
                          </w:divsChild>
                        </w:div>
                        <w:div w:id="553194970">
                          <w:marLeft w:val="-14067"/>
                          <w:marRight w:val="322"/>
                          <w:marTop w:val="376"/>
                          <w:marBottom w:val="0"/>
                          <w:divBdr>
                            <w:top w:val="none" w:sz="0" w:space="0" w:color="auto"/>
                            <w:left w:val="none" w:sz="0" w:space="0" w:color="auto"/>
                            <w:bottom w:val="none" w:sz="0" w:space="0" w:color="auto"/>
                            <w:right w:val="none" w:sz="0" w:space="0" w:color="auto"/>
                          </w:divBdr>
                        </w:div>
                        <w:div w:id="15947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3423">
                  <w:marLeft w:val="11"/>
                  <w:marRight w:val="11"/>
                  <w:marTop w:val="0"/>
                  <w:marBottom w:val="0"/>
                  <w:divBdr>
                    <w:top w:val="none" w:sz="0" w:space="0" w:color="auto"/>
                    <w:left w:val="none" w:sz="0" w:space="0" w:color="auto"/>
                    <w:bottom w:val="none" w:sz="0" w:space="0" w:color="auto"/>
                    <w:right w:val="none" w:sz="0" w:space="0" w:color="auto"/>
                  </w:divBdr>
                </w:div>
              </w:divsChild>
            </w:div>
            <w:div w:id="566574225">
              <w:marLeft w:val="0"/>
              <w:marRight w:val="0"/>
              <w:marTop w:val="0"/>
              <w:marBottom w:val="494"/>
              <w:divBdr>
                <w:top w:val="none" w:sz="0" w:space="0" w:color="auto"/>
                <w:left w:val="none" w:sz="0" w:space="0" w:color="auto"/>
                <w:bottom w:val="none" w:sz="0" w:space="0" w:color="auto"/>
                <w:right w:val="none" w:sz="0" w:space="0" w:color="auto"/>
              </w:divBdr>
              <w:divsChild>
                <w:div w:id="402726651">
                  <w:marLeft w:val="0"/>
                  <w:marRight w:val="0"/>
                  <w:marTop w:val="0"/>
                  <w:marBottom w:val="322"/>
                  <w:divBdr>
                    <w:top w:val="none" w:sz="0" w:space="0" w:color="auto"/>
                    <w:left w:val="none" w:sz="0" w:space="0" w:color="auto"/>
                    <w:bottom w:val="none" w:sz="0" w:space="0" w:color="auto"/>
                    <w:right w:val="none" w:sz="0" w:space="0" w:color="auto"/>
                  </w:divBdr>
                  <w:divsChild>
                    <w:div w:id="1649747500">
                      <w:marLeft w:val="0"/>
                      <w:marRight w:val="0"/>
                      <w:marTop w:val="0"/>
                      <w:marBottom w:val="0"/>
                      <w:divBdr>
                        <w:top w:val="none" w:sz="0" w:space="0" w:color="auto"/>
                        <w:left w:val="none" w:sz="0" w:space="0" w:color="auto"/>
                        <w:bottom w:val="none" w:sz="0" w:space="0" w:color="auto"/>
                        <w:right w:val="none" w:sz="0" w:space="0" w:color="auto"/>
                      </w:divBdr>
                    </w:div>
                    <w:div w:id="958953281">
                      <w:marLeft w:val="0"/>
                      <w:marRight w:val="0"/>
                      <w:marTop w:val="688"/>
                      <w:marBottom w:val="322"/>
                      <w:divBdr>
                        <w:top w:val="single" w:sz="4" w:space="5" w:color="CDCDCD"/>
                        <w:left w:val="single" w:sz="4" w:space="0" w:color="CDCDCD"/>
                        <w:bottom w:val="single" w:sz="4" w:space="22" w:color="CDCDCD"/>
                        <w:right w:val="single" w:sz="4" w:space="0" w:color="CDCDCD"/>
                      </w:divBdr>
                      <w:divsChild>
                        <w:div w:id="1347173418">
                          <w:marLeft w:val="0"/>
                          <w:marRight w:val="0"/>
                          <w:marTop w:val="0"/>
                          <w:marBottom w:val="752"/>
                          <w:divBdr>
                            <w:top w:val="none" w:sz="0" w:space="0" w:color="auto"/>
                            <w:left w:val="none" w:sz="0" w:space="0" w:color="auto"/>
                            <w:bottom w:val="none" w:sz="0" w:space="0" w:color="auto"/>
                            <w:right w:val="none" w:sz="0" w:space="0" w:color="auto"/>
                          </w:divBdr>
                          <w:divsChild>
                            <w:div w:id="1828278257">
                              <w:marLeft w:val="0"/>
                              <w:marRight w:val="0"/>
                              <w:marTop w:val="0"/>
                              <w:marBottom w:val="0"/>
                              <w:divBdr>
                                <w:top w:val="none" w:sz="0" w:space="0" w:color="auto"/>
                                <w:left w:val="none" w:sz="0" w:space="0" w:color="auto"/>
                                <w:bottom w:val="none" w:sz="0" w:space="0" w:color="auto"/>
                                <w:right w:val="none" w:sz="0" w:space="0" w:color="auto"/>
                              </w:divBdr>
                            </w:div>
                            <w:div w:id="32392266">
                              <w:marLeft w:val="0"/>
                              <w:marRight w:val="0"/>
                              <w:marTop w:val="0"/>
                              <w:marBottom w:val="0"/>
                              <w:divBdr>
                                <w:top w:val="none" w:sz="0" w:space="0" w:color="auto"/>
                                <w:left w:val="none" w:sz="0" w:space="0" w:color="auto"/>
                                <w:bottom w:val="none" w:sz="0" w:space="0" w:color="auto"/>
                                <w:right w:val="none" w:sz="0" w:space="0" w:color="auto"/>
                              </w:divBdr>
                              <w:divsChild>
                                <w:div w:id="1878273681">
                                  <w:marLeft w:val="0"/>
                                  <w:marRight w:val="0"/>
                                  <w:marTop w:val="0"/>
                                  <w:marBottom w:val="0"/>
                                  <w:divBdr>
                                    <w:top w:val="none" w:sz="0" w:space="0" w:color="auto"/>
                                    <w:left w:val="none" w:sz="0" w:space="0" w:color="auto"/>
                                    <w:bottom w:val="none" w:sz="0" w:space="0" w:color="auto"/>
                                    <w:right w:val="none" w:sz="0" w:space="0" w:color="auto"/>
                                  </w:divBdr>
                                  <w:divsChild>
                                    <w:div w:id="1981105947">
                                      <w:marLeft w:val="0"/>
                                      <w:marRight w:val="0"/>
                                      <w:marTop w:val="0"/>
                                      <w:marBottom w:val="0"/>
                                      <w:divBdr>
                                        <w:top w:val="none" w:sz="0" w:space="0" w:color="auto"/>
                                        <w:left w:val="none" w:sz="0" w:space="0" w:color="auto"/>
                                        <w:bottom w:val="none" w:sz="0" w:space="0" w:color="auto"/>
                                        <w:right w:val="none" w:sz="0" w:space="0" w:color="auto"/>
                                      </w:divBdr>
                                      <w:divsChild>
                                        <w:div w:id="1473403540">
                                          <w:marLeft w:val="0"/>
                                          <w:marRight w:val="0"/>
                                          <w:marTop w:val="0"/>
                                          <w:marBottom w:val="0"/>
                                          <w:divBdr>
                                            <w:top w:val="none" w:sz="0" w:space="0" w:color="auto"/>
                                            <w:left w:val="none" w:sz="0" w:space="0" w:color="auto"/>
                                            <w:bottom w:val="none" w:sz="0" w:space="0" w:color="auto"/>
                                            <w:right w:val="none" w:sz="0" w:space="0" w:color="auto"/>
                                          </w:divBdr>
                                          <w:divsChild>
                                            <w:div w:id="1889296359">
                                              <w:marLeft w:val="0"/>
                                              <w:marRight w:val="0"/>
                                              <w:marTop w:val="0"/>
                                              <w:marBottom w:val="0"/>
                                              <w:divBdr>
                                                <w:top w:val="none" w:sz="0" w:space="0" w:color="auto"/>
                                                <w:left w:val="none" w:sz="0" w:space="0" w:color="auto"/>
                                                <w:bottom w:val="none" w:sz="0" w:space="0" w:color="auto"/>
                                                <w:right w:val="none" w:sz="0" w:space="0" w:color="auto"/>
                                              </w:divBdr>
                                            </w:div>
                                            <w:div w:id="870459072">
                                              <w:marLeft w:val="0"/>
                                              <w:marRight w:val="0"/>
                                              <w:marTop w:val="0"/>
                                              <w:marBottom w:val="0"/>
                                              <w:divBdr>
                                                <w:top w:val="inset" w:sz="2" w:space="0" w:color="auto"/>
                                                <w:left w:val="inset" w:sz="2" w:space="1" w:color="auto"/>
                                                <w:bottom w:val="inset" w:sz="2" w:space="0" w:color="auto"/>
                                                <w:right w:val="inset" w:sz="2" w:space="1" w:color="auto"/>
                                              </w:divBdr>
                                            </w:div>
                                            <w:div w:id="583497242">
                                              <w:marLeft w:val="0"/>
                                              <w:marRight w:val="0"/>
                                              <w:marTop w:val="0"/>
                                              <w:marBottom w:val="0"/>
                                              <w:divBdr>
                                                <w:top w:val="none" w:sz="0" w:space="0" w:color="auto"/>
                                                <w:left w:val="none" w:sz="0" w:space="0" w:color="auto"/>
                                                <w:bottom w:val="none" w:sz="0" w:space="0" w:color="auto"/>
                                                <w:right w:val="none" w:sz="0" w:space="0" w:color="auto"/>
                                              </w:divBdr>
                                            </w:div>
                                            <w:div w:id="214696619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2039353247">
                              <w:marLeft w:val="0"/>
                              <w:marRight w:val="0"/>
                              <w:marTop w:val="0"/>
                              <w:marBottom w:val="0"/>
                              <w:divBdr>
                                <w:top w:val="none" w:sz="0" w:space="0" w:color="auto"/>
                                <w:left w:val="none" w:sz="0" w:space="0" w:color="auto"/>
                                <w:bottom w:val="none" w:sz="0" w:space="0" w:color="auto"/>
                                <w:right w:val="none" w:sz="0" w:space="0" w:color="auto"/>
                              </w:divBdr>
                              <w:divsChild>
                                <w:div w:id="37901488">
                                  <w:marLeft w:val="0"/>
                                  <w:marRight w:val="0"/>
                                  <w:marTop w:val="0"/>
                                  <w:marBottom w:val="0"/>
                                  <w:divBdr>
                                    <w:top w:val="none" w:sz="0" w:space="0" w:color="auto"/>
                                    <w:left w:val="none" w:sz="0" w:space="0" w:color="auto"/>
                                    <w:bottom w:val="none" w:sz="0" w:space="0" w:color="auto"/>
                                    <w:right w:val="none" w:sz="0" w:space="0" w:color="auto"/>
                                  </w:divBdr>
                                  <w:divsChild>
                                    <w:div w:id="1427458677">
                                      <w:marLeft w:val="0"/>
                                      <w:marRight w:val="0"/>
                                      <w:marTop w:val="0"/>
                                      <w:marBottom w:val="0"/>
                                      <w:divBdr>
                                        <w:top w:val="none" w:sz="0" w:space="0" w:color="auto"/>
                                        <w:left w:val="none" w:sz="0" w:space="0" w:color="auto"/>
                                        <w:bottom w:val="none" w:sz="0" w:space="0" w:color="auto"/>
                                        <w:right w:val="none" w:sz="0" w:space="0" w:color="auto"/>
                                      </w:divBdr>
                                      <w:divsChild>
                                        <w:div w:id="19607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627161">
              <w:marLeft w:val="0"/>
              <w:marRight w:val="0"/>
              <w:marTop w:val="0"/>
              <w:marBottom w:val="161"/>
              <w:divBdr>
                <w:top w:val="single" w:sz="4" w:space="0" w:color="E0E0E0"/>
                <w:left w:val="single" w:sz="4" w:space="0" w:color="E0E0E0"/>
                <w:bottom w:val="single" w:sz="4" w:space="0" w:color="E0E0E0"/>
                <w:right w:val="single" w:sz="4" w:space="0" w:color="E0E0E0"/>
              </w:divBdr>
              <w:divsChild>
                <w:div w:id="609048855">
                  <w:marLeft w:val="0"/>
                  <w:marRight w:val="0"/>
                  <w:marTop w:val="0"/>
                  <w:marBottom w:val="0"/>
                  <w:divBdr>
                    <w:top w:val="none" w:sz="0" w:space="0" w:color="auto"/>
                    <w:left w:val="none" w:sz="0" w:space="0" w:color="auto"/>
                    <w:bottom w:val="none" w:sz="0" w:space="0" w:color="auto"/>
                    <w:right w:val="none" w:sz="0" w:space="0" w:color="auto"/>
                  </w:divBdr>
                </w:div>
                <w:div w:id="717508691">
                  <w:marLeft w:val="0"/>
                  <w:marRight w:val="0"/>
                  <w:marTop w:val="0"/>
                  <w:marBottom w:val="0"/>
                  <w:divBdr>
                    <w:top w:val="none" w:sz="0" w:space="0" w:color="auto"/>
                    <w:left w:val="none" w:sz="0" w:space="0" w:color="auto"/>
                    <w:bottom w:val="none" w:sz="0" w:space="0" w:color="auto"/>
                    <w:right w:val="none" w:sz="0" w:space="0" w:color="auto"/>
                  </w:divBdr>
                </w:div>
              </w:divsChild>
            </w:div>
            <w:div w:id="1294674303">
              <w:marLeft w:val="0"/>
              <w:marRight w:val="0"/>
              <w:marTop w:val="0"/>
              <w:marBottom w:val="0"/>
              <w:divBdr>
                <w:top w:val="none" w:sz="0" w:space="0" w:color="auto"/>
                <w:left w:val="none" w:sz="0" w:space="0" w:color="auto"/>
                <w:bottom w:val="none" w:sz="0" w:space="0" w:color="auto"/>
                <w:right w:val="none" w:sz="0" w:space="0" w:color="auto"/>
              </w:divBdr>
              <w:divsChild>
                <w:div w:id="1621719274">
                  <w:marLeft w:val="0"/>
                  <w:marRight w:val="0"/>
                  <w:marTop w:val="0"/>
                  <w:marBottom w:val="0"/>
                  <w:divBdr>
                    <w:top w:val="none" w:sz="0" w:space="0" w:color="auto"/>
                    <w:left w:val="none" w:sz="0" w:space="0" w:color="auto"/>
                    <w:bottom w:val="none" w:sz="0" w:space="0" w:color="auto"/>
                    <w:right w:val="none" w:sz="0" w:space="0" w:color="auto"/>
                  </w:divBdr>
                </w:div>
                <w:div w:id="1158880946">
                  <w:marLeft w:val="0"/>
                  <w:marRight w:val="0"/>
                  <w:marTop w:val="0"/>
                  <w:marBottom w:val="0"/>
                  <w:divBdr>
                    <w:top w:val="none" w:sz="0" w:space="0" w:color="auto"/>
                    <w:left w:val="none" w:sz="0" w:space="0" w:color="auto"/>
                    <w:bottom w:val="none" w:sz="0" w:space="0" w:color="auto"/>
                    <w:right w:val="none" w:sz="0" w:space="0" w:color="auto"/>
                  </w:divBdr>
                </w:div>
                <w:div w:id="75092613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2017-08-11T15:32:00Z</dcterms:created>
  <dcterms:modified xsi:type="dcterms:W3CDTF">2017-08-11T15:32:00Z</dcterms:modified>
</cp:coreProperties>
</file>