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5" w:rsidRDefault="00352205" w:rsidP="0035220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804-93 Магний первичный в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>. Технические условия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804-93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352205" w:rsidRDefault="00352205" w:rsidP="003522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352205" w:rsidRDefault="00352205" w:rsidP="003522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МАГНИЙ ПЕРВИЧНЫЙ В ЧУШКАХ</w:t>
      </w:r>
    </w:p>
    <w:p w:rsidR="00352205" w:rsidRDefault="00352205" w:rsidP="003522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 условия</w:t>
      </w:r>
    </w:p>
    <w:p w:rsidR="00352205" w:rsidRPr="00352205" w:rsidRDefault="00352205" w:rsidP="0035220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352205">
        <w:rPr>
          <w:rFonts w:ascii="Arial" w:hAnsi="Arial" w:cs="Arial"/>
          <w:color w:val="3C3C3C"/>
          <w:spacing w:val="1"/>
          <w:sz w:val="22"/>
          <w:szCs w:val="22"/>
          <w:lang w:val="en-US"/>
        </w:rPr>
        <w:t>Primary magnesium ingots.</w:t>
      </w:r>
      <w:proofErr w:type="gramEnd"/>
      <w:r w:rsidRPr="00352205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Specifications</w:t>
      </w:r>
    </w:p>
    <w:p w:rsidR="00352205" w:rsidRP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352205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352205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352205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77.120.20</w:t>
      </w:r>
      <w:r w:rsidRPr="00352205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</w:t>
      </w:r>
      <w:r w:rsidRPr="00352205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17 1441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1997-01-01</w:t>
      </w:r>
    </w:p>
    <w:p w:rsidR="00352205" w:rsidRDefault="00352205" w:rsidP="0035220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Украинским научно-исследовательским и проектным институтом титана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Госстандартом Украины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ПРИНЯТ Межгосударственным советом по стандартизации, метрологии и сертификации (протокол N 3 от 17 февраля 1993 г.)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8"/>
        <w:gridCol w:w="6511"/>
      </w:tblGrid>
      <w:tr w:rsidR="00352205" w:rsidTr="00352205">
        <w:trPr>
          <w:trHeight w:val="15"/>
        </w:trPr>
        <w:tc>
          <w:tcPr>
            <w:tcW w:w="4066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</w:tr>
      <w:tr w:rsidR="00352205" w:rsidTr="0035220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национального органа по стандартизации</w:t>
            </w:r>
          </w:p>
        </w:tc>
      </w:tr>
      <w:tr w:rsidR="00352205" w:rsidTr="00352205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Армения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Армгосстандарт</w:t>
            </w:r>
            <w:proofErr w:type="spellEnd"/>
          </w:p>
        </w:tc>
      </w:tr>
      <w:tr w:rsidR="00352205" w:rsidTr="0035220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Белстандарт</w:t>
            </w:r>
            <w:proofErr w:type="spellEnd"/>
          </w:p>
        </w:tc>
      </w:tr>
      <w:tr w:rsidR="00352205" w:rsidTr="0035220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352205" w:rsidTr="0035220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Молдовастандарт</w:t>
            </w:r>
            <w:proofErr w:type="spellEnd"/>
          </w:p>
        </w:tc>
      </w:tr>
      <w:tr w:rsidR="00352205" w:rsidTr="0035220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России</w:t>
            </w:r>
          </w:p>
        </w:tc>
      </w:tr>
      <w:tr w:rsidR="00352205" w:rsidTr="0035220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Туркменглавгосинспекция</w:t>
            </w:r>
            <w:proofErr w:type="spellEnd"/>
          </w:p>
        </w:tc>
      </w:tr>
      <w:tr w:rsidR="00352205" w:rsidTr="00352205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Республика Узбекистан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Узгосстандарт</w:t>
            </w:r>
            <w:proofErr w:type="spellEnd"/>
          </w:p>
        </w:tc>
      </w:tr>
      <w:tr w:rsidR="00352205" w:rsidTr="00352205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Украины</w:t>
            </w:r>
          </w:p>
        </w:tc>
      </w:tr>
    </w:tbl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Постановлением Комитета Российской Федерации по стандартизации, метрологии и сертификации от 20 февраля 1996 г. N 76 межгосударственный стандарт ГОСТ 804-93 введен в действие непосредственно в качестве государственного стандарта Российской Федерации с 1 января 1997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 ВЗАМЕН ГОСТ 804-72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ПЕРЕИЗДАНИЕ. Январь 2004 г.</w:t>
      </w:r>
    </w:p>
    <w:p w:rsidR="00352205" w:rsidRDefault="00352205" w:rsidP="00352205">
      <w:pPr>
        <w:pStyle w:val="un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Courier New" w:hAnsi="Courier New" w:cs="Courier New"/>
          <w:color w:val="2D2D2D"/>
          <w:spacing w:val="1"/>
          <w:sz w:val="15"/>
          <w:szCs w:val="15"/>
        </w:rPr>
      </w:pPr>
      <w:r>
        <w:rPr>
          <w:rFonts w:ascii="Courier New" w:hAnsi="Courier New" w:cs="Courier New"/>
          <w:color w:val="2D2D2D"/>
          <w:spacing w:val="1"/>
          <w:sz w:val="15"/>
          <w:szCs w:val="15"/>
        </w:rPr>
        <w:t>                   </w:t>
      </w:r>
    </w:p>
    <w:p w:rsidR="00352205" w:rsidRDefault="00352205" w:rsidP="00352205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ИНФОРМАЦИОННЫЕ ДАННЫЕ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ССЫЛОЧНЫЕ НОРМАТИВНО-ТЕХНИЧЕСКИЕ ДОКУМЕНТЫ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74"/>
        <w:gridCol w:w="4620"/>
      </w:tblGrid>
      <w:tr w:rsidR="00352205" w:rsidTr="00352205">
        <w:trPr>
          <w:trHeight w:val="15"/>
        </w:trPr>
        <w:tc>
          <w:tcPr>
            <w:tcW w:w="5174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</w:tr>
      <w:tr w:rsidR="00352205" w:rsidTr="00352205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9.511-93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851.1-93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851.2-93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851.3-93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851.4-93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851.5-93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851.6-93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lastRenderedPageBreak/>
              <w:t>ГОСТ 851.7-93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851.8-93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851.9-93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851.10-93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851.11-93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851.12-93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851.13-93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3560-73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2.5.1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13843-78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2.5.1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14192-96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18477-79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2.5.1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21399-75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2.5.1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24231-80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352205">
              <w:rPr>
                <w:color w:val="2D2D2D"/>
                <w:sz w:val="15"/>
                <w:szCs w:val="15"/>
              </w:rPr>
              <w:t>ГОСТ 26653-90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2.5.1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48-10-7-80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2.5.3</w:t>
            </w:r>
          </w:p>
        </w:tc>
      </w:tr>
      <w:tr w:rsidR="00352205" w:rsidTr="00352205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48-10-98-89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2.5.2, 2.5.3</w:t>
            </w:r>
          </w:p>
        </w:tc>
      </w:tr>
    </w:tbl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магний первичный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предназначенный для производства сплавов,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магниетермических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процессов,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десульфурации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чугуна в качестве химического реагента и других целей.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Стандарт устанавливает требования к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 нелегированного магния чистотой 99,80; 99,90; 99,95 общего назначения, а также чистотой 99,98 для специального применения.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Данный стандарт распространяется также на магний, поставляемый на экспорт.</w:t>
      </w:r>
    </w:p>
    <w:p w:rsidR="00352205" w:rsidRDefault="00352205" w:rsidP="0035220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 Марки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В зависимости от химического состава устанавливаются следующие марки магния: Мг80, Мг90, Мг95 и Мг98, где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M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- означает магний, цифры - содержание магния после запятой в процентах.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Пример: Мг80 - магний первичный с содержанием магния 99,80%.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352205" w:rsidRDefault="00352205" w:rsidP="0035220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2 Технические требования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 Магний первичный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должен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Химический состав магния должен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1 - Химический состав магния, %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1155"/>
        <w:gridCol w:w="620"/>
        <w:gridCol w:w="520"/>
        <w:gridCol w:w="637"/>
        <w:gridCol w:w="772"/>
        <w:gridCol w:w="650"/>
        <w:gridCol w:w="796"/>
        <w:gridCol w:w="621"/>
        <w:gridCol w:w="648"/>
        <w:gridCol w:w="683"/>
        <w:gridCol w:w="641"/>
        <w:gridCol w:w="775"/>
        <w:gridCol w:w="659"/>
        <w:gridCol w:w="788"/>
      </w:tblGrid>
      <w:tr w:rsidR="00352205" w:rsidTr="00352205">
        <w:trPr>
          <w:trHeight w:val="15"/>
        </w:trPr>
        <w:tc>
          <w:tcPr>
            <w:tcW w:w="554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</w:tr>
      <w:tr w:rsidR="00352205" w:rsidTr="0035220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ка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маг- </w:t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ОКП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Ma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*, не </w:t>
            </w:r>
            <w:proofErr w:type="spellStart"/>
            <w:r>
              <w:rPr>
                <w:color w:val="2D2D2D"/>
                <w:sz w:val="15"/>
                <w:szCs w:val="15"/>
              </w:rPr>
              <w:t>ме</w:t>
            </w:r>
            <w:proofErr w:type="spellEnd"/>
            <w:r>
              <w:rPr>
                <w:color w:val="2D2D2D"/>
                <w:sz w:val="15"/>
                <w:szCs w:val="15"/>
              </w:rPr>
              <w:t>- нее, %</w:t>
            </w:r>
          </w:p>
        </w:tc>
        <w:tc>
          <w:tcPr>
            <w:tcW w:w="942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не более, %</w:t>
            </w:r>
          </w:p>
        </w:tc>
      </w:tr>
      <w:tr w:rsidR="00352205" w:rsidTr="00352205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леза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</w:t>
            </w:r>
            <w:proofErr w:type="gramStart"/>
            <w:r>
              <w:rPr>
                <w:color w:val="2D2D2D"/>
                <w:sz w:val="15"/>
                <w:szCs w:val="15"/>
              </w:rPr>
              <w:t>м-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Меди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Алюм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ния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Ма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ганца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Сумма </w:t>
            </w:r>
            <w:proofErr w:type="spellStart"/>
            <w:r>
              <w:rPr>
                <w:color w:val="2D2D2D"/>
                <w:sz w:val="15"/>
                <w:szCs w:val="15"/>
              </w:rPr>
              <w:t>огов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ренных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приме- сей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</w:t>
            </w:r>
            <w:r>
              <w:rPr>
                <w:color w:val="2D2D2D"/>
                <w:sz w:val="15"/>
                <w:szCs w:val="15"/>
              </w:rPr>
              <w:br/>
              <w:t>жел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за, ни- </w:t>
            </w:r>
            <w:proofErr w:type="spellStart"/>
            <w:r>
              <w:rPr>
                <w:color w:val="2D2D2D"/>
                <w:sz w:val="15"/>
                <w:szCs w:val="15"/>
              </w:rPr>
              <w:t>келя</w:t>
            </w:r>
            <w:proofErr w:type="spellEnd"/>
            <w:r>
              <w:rPr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br/>
              <w:t>меди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Любого другого эл</w:t>
            </w:r>
            <w:proofErr w:type="gramStart"/>
            <w:r>
              <w:rPr>
                <w:color w:val="2D2D2D"/>
                <w:sz w:val="15"/>
                <w:szCs w:val="15"/>
              </w:rPr>
              <w:t>е-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мента</w:t>
            </w:r>
            <w:proofErr w:type="spellEnd"/>
          </w:p>
        </w:tc>
      </w:tr>
      <w:tr w:rsidR="00352205" w:rsidTr="0035220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17 1441 1008 08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99,80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352205" w:rsidTr="00352205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Мг90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17 1441 1007 05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352205" w:rsidTr="00352205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Мг95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17 1441 1006 06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0,010</w:t>
            </w:r>
          </w:p>
        </w:tc>
      </w:tr>
      <w:tr w:rsidR="00352205" w:rsidTr="00352205"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Мг98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17 1441 1004 01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352205" w:rsidTr="00352205">
        <w:tc>
          <w:tcPr>
            <w:tcW w:w="12566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  <w:t>* Определяется по разности.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  <w:t>1 Массовая доля примесей не должна быть более: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хлора - 0,005% для марок Мг80, Мг90, Мг95,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калия - 0,004% для марки Мг95,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натрия - 0,004% для марки Мг95.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Магний марки Мг90 по требованию потребителя изготовляется с массовой долей титана не более 0,002%.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согласованию изготовителя с потребителем магний марки Мг95 изготовляется с массовой долей марганца не более 0,004% при массовой доле натрия не более 0,01% и сумме массовых долей железа, никеля и меди не более 0,007%.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П</w:t>
            </w:r>
            <w:proofErr w:type="gramEnd"/>
            <w:r>
              <w:rPr>
                <w:color w:val="2D2D2D"/>
                <w:sz w:val="15"/>
                <w:szCs w:val="15"/>
              </w:rPr>
              <w:t>о требованию потребителя магний марки Мг95 изготовляется с массовыми долями никеля не более 0,0007% и алюминия не более 0,006%.</w:t>
            </w:r>
          </w:p>
        </w:tc>
      </w:tr>
    </w:tbl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таблице указаны максимально допустимые массовые доли примесей для магния марок Мг80, Мг90, Мг95 и рекомендуемые для магния специального назначения - марки Мг98.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 Магний изготовляется в виде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(8,0±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1,0)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кг, допускается выпуск магния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массой от (2,0±0,3) кг до (22,0±2,0)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предназначенные для длительного хранения, и по требованию потребителя подвергают антикоррозионной обработке раствором бихромата калия.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Поверхность обрабатывают в растворе кальцинированной соды с последующей промывкой в воде.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Поверхность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предназначенных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для экспорта, подвергают антикоррозионной обработке в соответствии с требованиями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 Поверхность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должна быть без флюсовых включений и продуктов горения магния. На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не подвергавшихся антикоррозионной обработке, по согласованию изготовителя с потребителем допускаются флюсовые включения и продукты горения общей площадью не более 25 мм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9" type="#_x0000_t75" alt="ГОСТ 804-93 Магний первичный в чушках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глубиной не более 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Допускаются зачищенные места и наличие цветов побежалости.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Термины дефектов поверхности и их определения приведены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 2.4 Маркировка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а каждой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быть следующие обозначения: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марка магния;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плавки.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2.5 Упаковка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транспортируют в пакетированном виде. Подготовка груза к транспортированию -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26653</w:t>
      </w:r>
      <w:r>
        <w:rPr>
          <w:rFonts w:ascii="Arial" w:hAnsi="Arial" w:cs="Arial"/>
          <w:color w:val="2D2D2D"/>
          <w:spacing w:val="1"/>
          <w:sz w:val="15"/>
          <w:szCs w:val="15"/>
        </w:rPr>
        <w:t>. Формирование пакетов -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21399</w:t>
      </w:r>
      <w:r>
        <w:rPr>
          <w:rFonts w:ascii="Arial" w:hAnsi="Arial" w:cs="Arial"/>
          <w:color w:val="2D2D2D"/>
          <w:spacing w:val="1"/>
          <w:sz w:val="15"/>
          <w:szCs w:val="15"/>
        </w:rPr>
        <w:t>. Параметры пакетов - не более 700х700 или 700х1400 мм массой не более 1500 кг. Пакеты скрепляют алюминиевой катанкой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13843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стальной упаковочной лентой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3560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применять другие средства пакетирования, обеспечивающие формирование пакетов в соответствии с требованиями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21399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договорными документами изготовителя и потребителя, согласованными с транспортными организациями.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Транспортирование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возможно также в универсальных контейнерах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18477</w:t>
      </w:r>
      <w:r>
        <w:rPr>
          <w:rFonts w:ascii="Arial" w:hAnsi="Arial" w:cs="Arial"/>
          <w:color w:val="2D2D2D"/>
          <w:spacing w:val="1"/>
          <w:sz w:val="15"/>
          <w:szCs w:val="15"/>
        </w:rPr>
        <w:t>, а также в непакетированном виде автомобильным транспортом потребителя.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2.5.2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магния, предназначенные для длительного хранения, упаковывают в стальные бочки вместимостью 250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300" type="#_x0000_t75" alt="ГОСТ 804-93 Магний первичный в чушках. Технические услов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ТУ 48-10-98* массой брутто (275±25) кг или другую тару, обеспечивающую сохранность магния и оговоренную в договоре между потребителем и изготовителем.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* ТУ,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упомянутые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здесь и далее по тексту, являются авторской разработкой. За дополнительной информацией обратитесь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ссылке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По согласованию с потребителем допускается изготовление бочек без бобышек и пробок.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 каждой бочке при помощи трафарета должно быть указано: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марка магния;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плавки и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нетто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дата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2.5.3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магния, предназначенные для экспорта, упаковывают в деревянные ящики, изготовленные в соответствии с ТУ 48-10-7.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Масса брутто ящика должна быть (390±15) кг или (495±15) кг. Допускается упаковывать в стальные бочки по ТУ 48-10-98 или в соответствии с условиями контрактов.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ПРИЕМКА</w:t>
      </w:r>
    </w:p>
    <w:p w:rsidR="00352205" w:rsidRDefault="00352205" w:rsidP="0035220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3 Приемка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 принимают партиями. Партия должна состоять из магния одной марки, одной или нескольких плавок и сопровождаться одним документом о качестве, содержащим: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продукции, марку магния;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 и номера плавок;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нетто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химического анализа (по плавкам);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штамп отдела технического контроля.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контроля поверхности отбирают 1%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партии, но не менее 10 штук.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определения химического состава магния от каждой плавки, входящей в партию, отбирают по три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Массовые доли железа, кремния, никеля, меди, алюминия и марганца определяют в каждой плавке. Любую другую примесь - в каждой тридцатой плавке. Сумму примесей определяют сложением массовых долей примесей в процентах. По требованию потребителя массовые доли натрия и титана определяют в каждой плавке и указывают в документе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определения химического состава на предприятии-изготовителе допускается отбирать пробы от жидкого металла.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магнии, предназначенном для длительного хранения, а также по требованию потребителя массовую долю хлора определяют в каждой плавке и указывают в документе о качестве.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ля контроля массы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взвешивают по три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 каждой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Массу партии определяют как сумму масс всех грузовых мест партии.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ри получении неудовлетворительных результатов испытания хотя бы по одному показателю по нему проводят повторное испытание на удвоенном количестве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взятых от той же плавки или партии. Результаты повторного испытания распространяются на всю плавку или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352205" w:rsidRDefault="00352205" w:rsidP="003522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ИСПЫТАНИЙ</w:t>
      </w:r>
    </w:p>
    <w:p w:rsidR="00352205" w:rsidRDefault="00352205" w:rsidP="0035220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4 Методы испытаний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 Отбор и подготовка проб для определения химического состава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 -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24231</w:t>
      </w:r>
      <w:r>
        <w:rPr>
          <w:rFonts w:ascii="Arial" w:hAnsi="Arial" w:cs="Arial"/>
          <w:color w:val="2D2D2D"/>
          <w:spacing w:val="1"/>
          <w:sz w:val="15"/>
          <w:szCs w:val="15"/>
        </w:rPr>
        <w:t>. Способ отбора проб для химического анализа - сверление. Масса точечной пробы - не менее 10 г. Масса лабораторной пробы - не менее 50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 Определение химического состава магния -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851.1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851.13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применять другие методы, не уступающие по точности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стандартах.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разногласиях в оценке качества химический состав магния должен определяться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851.1</w:t>
      </w:r>
      <w:r>
        <w:rPr>
          <w:rFonts w:ascii="Arial" w:hAnsi="Arial" w:cs="Arial"/>
          <w:color w:val="2D2D2D"/>
          <w:spacing w:val="1"/>
          <w:sz w:val="15"/>
          <w:szCs w:val="15"/>
        </w:rPr>
        <w:t> -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851.13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Округление результатов анализа химического состава производят до последнего десятичного знака, указанного в таблице 1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 Контроль массы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каждого грузового места партии производят взвешиванием с погрешностью не более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 Проверку качества поверхности проводят внешним осмотром без применения увеличительных приборов. Измерение величины флюсовых включений, продуктов горения проводят стандартным мерительным инструментом, обеспечивающим погрешность измерения не более ±0,1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ТРАНСПОРТИРОВАНИЕ И ХРАНЕНИЕ</w:t>
      </w:r>
    </w:p>
    <w:p w:rsidR="00352205" w:rsidRDefault="00352205" w:rsidP="0035220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5 Транспортирование и хранение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транспортируют железнодорожным транспортом в крытых вагонах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отправками или крытыми автомашинами потребителя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Чушки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уложенные в контейнеры, транспортируют в полувагонах или на платформах.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Перевозку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морским транспортом производят в соответствии с Правилами безопасности морской перевозки генеральных грузов.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Транспортная маркировка - по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14192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 Магний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хранят в закрытых вентилируемых помещениях; магний, предназначенный для длительного хранения, - в соответствии с </w:t>
      </w:r>
      <w:r w:rsidRPr="00352205">
        <w:rPr>
          <w:rFonts w:ascii="Arial" w:hAnsi="Arial" w:cs="Arial"/>
          <w:color w:val="2D2D2D"/>
          <w:spacing w:val="1"/>
          <w:sz w:val="15"/>
          <w:szCs w:val="15"/>
        </w:rPr>
        <w:t>ГОСТ 9.511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352205" w:rsidRDefault="00352205" w:rsidP="00352205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6 Гарантии изготовителя  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 Изготовитель гарантирует качество первичного магния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соблюдении требований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 Гарантийный срок хранения со дня изготовления: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 без антикоррозионной обработки, не имеющих флюсовых включений и продуктов горения, - 6 месяцев, а имеющих эти дефекты - 2 месяца;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 с обработкой бихроматом калия - 1 год;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 с антикоррозионной обработкой, упакованных в стальные бочки, - 10 лет.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Гарантийный срок хранения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чушек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магния,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поставляемых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экспорт, определяется в зависимости от принятого способа антикоррозионной обработки и упаковки.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Default="00352205" w:rsidP="00352205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</w:t>
      </w:r>
    </w:p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5"/>
        <w:gridCol w:w="7934"/>
      </w:tblGrid>
      <w:tr w:rsidR="00352205" w:rsidTr="00352205">
        <w:trPr>
          <w:trHeight w:val="15"/>
        </w:trPr>
        <w:tc>
          <w:tcPr>
            <w:tcW w:w="2772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  <w:tc>
          <w:tcPr>
            <w:tcW w:w="8870" w:type="dxa"/>
            <w:hideMark/>
          </w:tcPr>
          <w:p w:rsidR="00352205" w:rsidRDefault="00352205">
            <w:pPr>
              <w:rPr>
                <w:sz w:val="2"/>
                <w:szCs w:val="24"/>
              </w:rPr>
            </w:pPr>
          </w:p>
        </w:tc>
      </w:tr>
      <w:tr w:rsidR="00352205" w:rsidTr="0035220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</w:p>
        </w:tc>
      </w:tr>
      <w:tr w:rsidR="00352205" w:rsidTr="00352205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Флюсовые включения</w:t>
            </w:r>
          </w:p>
        </w:tc>
        <w:tc>
          <w:tcPr>
            <w:tcW w:w="8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Солевые включения округлой формы, заполняющие открытую пустоту в теле </w:t>
            </w:r>
            <w:proofErr w:type="spellStart"/>
            <w:r>
              <w:rPr>
                <w:color w:val="2D2D2D"/>
                <w:sz w:val="15"/>
                <w:szCs w:val="15"/>
              </w:rPr>
              <w:t>чушки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или участок в форме плены на поверхности. При вылеживании образует рыхлый нарост серого или черного цвета</w:t>
            </w:r>
          </w:p>
        </w:tc>
      </w:tr>
      <w:tr w:rsidR="00352205" w:rsidTr="0035220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Продукты горения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Отдельные или групповые раковины, заполненные порошком окислов от белого до черного цвета или наросты серого или темного цвета</w:t>
            </w:r>
          </w:p>
        </w:tc>
      </w:tr>
      <w:tr w:rsidR="00352205" w:rsidTr="00352205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Зачищенные места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Следы механической обработки </w:t>
            </w:r>
            <w:proofErr w:type="spellStart"/>
            <w:r>
              <w:rPr>
                <w:color w:val="2D2D2D"/>
                <w:sz w:val="15"/>
                <w:szCs w:val="15"/>
              </w:rPr>
              <w:t>чушек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целью удаления дефектов поверхности</w:t>
            </w:r>
          </w:p>
        </w:tc>
      </w:tr>
      <w:tr w:rsidR="00352205" w:rsidTr="00352205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Цвета побежалости</w:t>
            </w:r>
          </w:p>
        </w:tc>
        <w:tc>
          <w:tcPr>
            <w:tcW w:w="8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52205" w:rsidRDefault="00352205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Окраска участков поверхности, отличающаяся постепенным переходом от одного цвета и тональности с металлическим блеском к другому</w:t>
            </w:r>
          </w:p>
        </w:tc>
      </w:tr>
    </w:tbl>
    <w:p w:rsidR="00352205" w:rsidRDefault="00352205" w:rsidP="00352205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352205" w:rsidRPr="00352205" w:rsidRDefault="00352205" w:rsidP="00352205"/>
    <w:sectPr w:rsidR="00352205" w:rsidRPr="00352205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109B5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109B5"/>
    <w:rsid w:val="00144A40"/>
    <w:rsid w:val="00153F83"/>
    <w:rsid w:val="001741CA"/>
    <w:rsid w:val="00177C25"/>
    <w:rsid w:val="002D3ACA"/>
    <w:rsid w:val="00313072"/>
    <w:rsid w:val="00352205"/>
    <w:rsid w:val="00362C0C"/>
    <w:rsid w:val="003D53F9"/>
    <w:rsid w:val="003F7A45"/>
    <w:rsid w:val="00457481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E95947"/>
    <w:rsid w:val="00F121D7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5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5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5435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3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8733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405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74792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28610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19295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65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449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7787122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2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40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165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27841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466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161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1238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1173">
                  <w:blockQuote w:val="1"/>
                  <w:marLeft w:val="484"/>
                  <w:marRight w:val="376"/>
                  <w:marTop w:val="75"/>
                  <w:marBottom w:val="236"/>
                  <w:divBdr>
                    <w:top w:val="none" w:sz="0" w:space="3" w:color="DD3333"/>
                    <w:left w:val="single" w:sz="24" w:space="11" w:color="DD3333"/>
                    <w:bottom w:val="none" w:sz="0" w:space="3" w:color="DD3333"/>
                    <w:right w:val="none" w:sz="0" w:space="11" w:color="DD3333"/>
                  </w:divBdr>
                  <w:divsChild>
                    <w:div w:id="14715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9420">
          <w:marLeft w:val="0"/>
          <w:marRight w:val="0"/>
          <w:marTop w:val="322"/>
          <w:marBottom w:val="2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848">
          <w:marLeft w:val="0"/>
          <w:marRight w:val="0"/>
          <w:marTop w:val="96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62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592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411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9695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731038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7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16136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4831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109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672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0772848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2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02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64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69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584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39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36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56155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6268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3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4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4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06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2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16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4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5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06435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13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341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072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4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257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663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8572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38279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25522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202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22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1729863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0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677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3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2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590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2981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80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71551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45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75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2017-08-08T08:28:00Z</dcterms:created>
  <dcterms:modified xsi:type="dcterms:W3CDTF">2017-08-08T08:28:00Z</dcterms:modified>
</cp:coreProperties>
</file>