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0E" w:rsidRDefault="005E430E" w:rsidP="005E43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4461-77 Реактивы. Кислота азотная. Технические условия (с Изменениями N 1, 2)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5E430E" w:rsidRDefault="005E430E" w:rsidP="005E43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5E430E" w:rsidRDefault="005E430E" w:rsidP="005E43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5E430E" w:rsidRDefault="005E430E" w:rsidP="005E43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АЗОТНАЯ</w:t>
      </w:r>
    </w:p>
    <w:p w:rsidR="005E430E" w:rsidRDefault="005E430E" w:rsidP="005E43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5E430E" w:rsidRPr="005E430E" w:rsidRDefault="005E430E" w:rsidP="005E430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5E430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Nitric acid.</w:t>
      </w:r>
      <w:proofErr w:type="gramEnd"/>
      <w:r w:rsidRPr="005E430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5E430E" w:rsidRP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5E430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5E430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5E430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71.040.30 </w:t>
      </w:r>
      <w:r w:rsidRPr="005E430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5E430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26 1211 0010 01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1979-01-01</w:t>
      </w:r>
    </w:p>
    <w:p w:rsidR="005E430E" w:rsidRDefault="005E430E" w:rsidP="005E43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22.12.77 N 2995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4461-67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Стандарт содержит все требования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3855-82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 стандарт введен международный стандарт ИСО 6353-2-83*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.19) в части квалификации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5E430E" w:rsidTr="005E430E">
        <w:trPr>
          <w:trHeight w:val="15"/>
        </w:trPr>
        <w:tc>
          <w:tcPr>
            <w:tcW w:w="5174" w:type="dxa"/>
            <w:hideMark/>
          </w:tcPr>
          <w:p w:rsidR="005E430E" w:rsidRDefault="005E430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E430E" w:rsidRDefault="005E430E">
            <w:pPr>
              <w:rPr>
                <w:sz w:val="2"/>
                <w:szCs w:val="24"/>
              </w:rPr>
            </w:pPr>
          </w:p>
        </w:tc>
      </w:tr>
      <w:tr w:rsidR="005E430E" w:rsidTr="005E430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5E430E" w:rsidTr="005E430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2а.4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3.5, 3.6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2.1, 3.1, 4.1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3.2.1, 3.11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3.10.1, 3.10.2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3.8.1, 3.8.2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10671.6-74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5E430E" w:rsidTr="005E430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30E">
              <w:rPr>
                <w:color w:val="2D2D2D"/>
                <w:sz w:val="15"/>
                <w:szCs w:val="15"/>
              </w:rPr>
              <w:t>ГОСТ 27184-86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</w:tbl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Ограничение срока действия снято по протоколу N 7-95 Межгосударственного совета по стандартизации, метрологии и сертификации (ИУС 11-95)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ИЗДАНИЕ (ноябрь 2005 г.) с Изменениями N 1, 2, утвержденными в декабре 1983 г., июне 1990 г. (ИУС 3-84, 10-90)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реактив - азотную кислоту, представляющую собой бесцветную или слегка желтоватую прозрачную жидкость с характерным удушливым запахом. При хранении увеличивается содержание окислов азота, в результате чего цвет азотной кислоты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меняется на слабо-желтовато-коричневый.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3855-82.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91" type="#_x0000_t75" alt="ГОСТ 4461-77 Реактивы. Кислота азотная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- 63,01.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азотной кислоты с массовой долей 65% 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- 1,4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09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азотной кислоты с массовой долей 56% пои 20°С - 1,35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09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Азотная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химическим показателям азотная кислота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0"/>
        <w:gridCol w:w="2176"/>
        <w:gridCol w:w="2315"/>
        <w:gridCol w:w="2158"/>
      </w:tblGrid>
      <w:tr w:rsidR="005E430E" w:rsidTr="005E430E">
        <w:trPr>
          <w:trHeight w:val="15"/>
        </w:trPr>
        <w:tc>
          <w:tcPr>
            <w:tcW w:w="4250" w:type="dxa"/>
            <w:hideMark/>
          </w:tcPr>
          <w:p w:rsidR="005E430E" w:rsidRDefault="005E430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E430E" w:rsidRDefault="005E43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E430E" w:rsidRDefault="005E430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E430E" w:rsidRDefault="005E430E">
            <w:pPr>
              <w:rPr>
                <w:sz w:val="2"/>
                <w:szCs w:val="24"/>
              </w:rPr>
            </w:pPr>
          </w:p>
        </w:tc>
      </w:tr>
      <w:tr w:rsidR="005E430E" w:rsidTr="005E430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 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 (х.ч.) </w:t>
            </w:r>
            <w:r>
              <w:rPr>
                <w:color w:val="2D2D2D"/>
                <w:sz w:val="15"/>
                <w:szCs w:val="15"/>
              </w:rPr>
              <w:br/>
              <w:t>ОКП 26 1211 0013 09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 </w:t>
            </w:r>
            <w:r>
              <w:rPr>
                <w:color w:val="2D2D2D"/>
                <w:sz w:val="15"/>
                <w:szCs w:val="15"/>
              </w:rPr>
              <w:br/>
              <w:t>(ч.д.а.) </w:t>
            </w:r>
            <w:r>
              <w:rPr>
                <w:color w:val="2D2D2D"/>
                <w:sz w:val="15"/>
                <w:szCs w:val="15"/>
              </w:rPr>
              <w:br/>
              <w:t>ОКП 26 1211 0012 10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 26 1211 0011 00</w:t>
            </w:r>
          </w:p>
        </w:tc>
      </w:tr>
      <w:tr w:rsidR="005E430E" w:rsidTr="005E430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азотной кислоты, (HNO</w:t>
            </w:r>
            <w:r>
              <w:rPr>
                <w:color w:val="2D2D2D"/>
                <w:sz w:val="15"/>
                <w:szCs w:val="15"/>
              </w:rPr>
              <w:pict>
                <v:shape id="_x0000_i2094" type="#_x0000_t75" alt="ГОСТ 4461-77 Реактивы. Кислота азотная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концентрированной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разбавленной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(56)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(56)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(56)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остатка после прокаливания в виде сульфатов,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  <w:r>
              <w:rPr>
                <w:color w:val="2D2D2D"/>
                <w:sz w:val="15"/>
                <w:szCs w:val="15"/>
              </w:rPr>
              <w:br/>
              <w:t>(0,001)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  <w:r>
              <w:rPr>
                <w:color w:val="2D2D2D"/>
                <w:sz w:val="15"/>
                <w:szCs w:val="15"/>
              </w:rPr>
              <w:br/>
              <w:t>(0,003)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2095" type="#_x0000_t75" alt="ГОСТ 4461-77 Реактивы. Кислота азотная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  <w:r>
              <w:rPr>
                <w:color w:val="2D2D2D"/>
                <w:sz w:val="15"/>
                <w:szCs w:val="15"/>
              </w:rPr>
              <w:br/>
              <w:t>(0,0005)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фосфатов (РО</w:t>
            </w:r>
            <w:r>
              <w:rPr>
                <w:color w:val="2D2D2D"/>
                <w:sz w:val="15"/>
                <w:szCs w:val="15"/>
              </w:rPr>
              <w:pict>
                <v:shape id="_x0000_i2096" type="#_x0000_t75" alt="ГОСТ 4461-77 Реактивы. Кислота азотная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0,00200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0,00050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0,00030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2).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rPr>
                <w:sz w:val="24"/>
                <w:szCs w:val="24"/>
              </w:rPr>
            </w:pP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0,000003</w:t>
            </w:r>
          </w:p>
        </w:tc>
      </w:tr>
      <w:tr w:rsidR="005E430E" w:rsidTr="005E430E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30E" w:rsidRDefault="005E43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</w:tr>
    </w:tbl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Азотную кислоту с нормами, указанными в скобках, допускается выпускать до 1 января 1996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2а.1. При непосредственном контакте с кожей азотная кислота вызывает ожоги. Дым, содержащий азотную кислоту, раздражает дыхательные пути, вызывает разрушение зубов,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конъюктивиты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При работе с препаратом необходимо пользоваться индивидуальными средствами защиты (респираторы, резиновые перчатки, защитные очки, спецодежда),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Все рабочие помещения должны быть оборудованы общей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2а.4. Предельно допустимая концентрация азотной кислоты и ее паров в воздухе рабочей зоны - 2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097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(в пересчете на диоксид азота). Класс опасности 3 в соответствии с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мышьяка и тяжелых металлов периодически, в сроки, согласованные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применяются лабораторные весы общего назначения ВЛР-200, ВЛКТ-500г-М, ВЛЭ-200г. Допускается применение других средств измерения с метрологическими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3 кг. Для анализа азотную кислоту отбирают безопасной пипеткой или мерным цилиндром с погрешностью не более 1% по объему.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пробы из цистерны осуществляется путем медленного погружения пробоотборника на всю глубину цистерны.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азотной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углекислоту; готовят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09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н.), готовят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 (метиленовый голубой и метиловый красный); готовят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Кн-1(2)-250-19/26 (24/29) ТХС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(3)-50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 (2)-2-50-0,1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коло 1,4000 г препарата взвешивают в пипетке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Лунге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помещают в коническую колбу, содержащую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09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и тщательно перемешивают. Добавляют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0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смешанного индикатора и титруют раствором гидроокиси натрия до перехода фиолетово-красной окраски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взвешивание препарата в колбе, содержащей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(по разности), или в ампуле.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азотной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2" type="#_x0000_t75" alt="ГОСТ 4461-77 Реактивы. Кислота азотная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</w:p>
    <w:p w:rsidR="005E430E" w:rsidRDefault="005E430E" w:rsidP="005E430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78585" cy="389255"/>
            <wp:effectExtent l="19050" t="0" r="0" b="0"/>
            <wp:docPr id="1079" name="Рисунок 1079" descr="ГОСТ 4461-77 Реактивы. Кислота азот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ГОСТ 4461-77 Реактивы. Кислота азот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4" type="#_x0000_t75" alt="ГОСТ 4461-77 Реактивы. Кислота азотная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5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н.),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6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7" type="#_x0000_t75" alt="ГОСТ 4461-77 Реактивы. Кислота азотн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0,03150 - масса азотной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0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н.),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0" type="#_x0000_t75" alt="ГОСТ 4461-77 Реактивы. Кислота азот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proofErr w:type="gramEnd"/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3.2.2, 3.2.3.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Плотность определяют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18995.1</w:t>
      </w:r>
      <w:r>
        <w:rPr>
          <w:rFonts w:ascii="Arial" w:hAnsi="Arial" w:cs="Arial"/>
          <w:color w:val="2D2D2D"/>
          <w:spacing w:val="1"/>
          <w:sz w:val="15"/>
          <w:szCs w:val="15"/>
        </w:rPr>
        <w:t> ареометром.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остатка после прокаливания (в виде сульфатов)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27184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навески 200,0 г (143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 норме 0,0005% или 100,0 г (72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при норме 0,001, 0,003 и 0,005%.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25 г (18,0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 или 20 г (14,3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4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ч.д.а., или 2,5 г (1,8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5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чистый помещают в фарфоровую или платиновую чашку,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6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углекислого натрия (по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2%,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7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2%-ного раствора безводного углекислого натрия (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выпаривают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водяной бане или под инфракрасной лампой досуха. Затем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выпаривают досуха. Сухой остаток растворяют в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1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и, если раствор мутный, его фильтруют через плотный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фильтр, промытый горячей водой. Далее определение проводят визуально-нефелометрическим методом (способ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- 0,025 мг SО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0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- 0,04 мг SО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(0,10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)*,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Значение, указанное в скобках, установлено для нормы, действующей до 01.01.96.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4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5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6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7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с теми же количествами реактивов проводят контрольный опыт. При обнаружении примеси сульфатов в результат анализа вносят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фосфатов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10671.6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50 мг (36,0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 и ч.д.а., или 2,5 мг (1,8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2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препарата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квалификации чистый помещают в фарфоровую или платиновую чашку,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0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 (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10% и выпаривают на водяной бане или под инфракрасной лампой досуха. Остаток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переносят в мерную колбу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фотометрическим методом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- 0,025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по окраске молибденовой сини с восстановлением аскорбиновой кислотой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10671.6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навески 20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фосфатов анализ проводят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хлоридов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21,0 г (15,6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 или 11,0 г (7,8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4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квалификации ч.д.а. и ч.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5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6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визуально-нефелометрическим методом (по способу 1), не прибавляя к анализируемому раствору раствор азотной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- 0,006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- 0,050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г (0,7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7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для азотной кислоты квалификации "чистый"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содержания хлоридов определение проводят визуально-нефелометрическим методом.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3.4-3.7.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железа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50 г (36,0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3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 или 10 г (7,2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0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квалификации ч.д.а. и ч. помещают в фарфоровую или кварцевую чашку и выпаривают на водяной бане или под инфракрасной лампой досуха. Остаток растворяют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25%, смывают,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с предварительным окислением железа азотной кислотой (не прибавляя раствора азотной кислоты).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преперата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чистый - 0,03 мг.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3.8.2. 2,2'-дипиридиловый метод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20,0 г (14,3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х.ч. или 10,0 г (7,2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4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ч.д.а., или 2,0 г (1,4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5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ч. помещают в платиновую, фарфоровую или кварцевую чашку и выпаривают досуха.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растворяют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6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при помощи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7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2,2'-дипиридиловым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- 0,004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- 0,060 мг.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анализ проводят 2,2'-дипиридиловым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3.9-3.9.2.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3.10.1. Метод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10485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100 г (72,0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фарфоровую или платиновую чашку,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0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выпаривают сначала на водяной бане или под инфракрасной лампой, а затем на электрической плитке, накрытой асбестом, до появления паров серной кислоты. Затем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выпаривают до появления белых паров.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охлаждения остаток разбавляют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по методу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солянокислой или борнокислой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- 0,003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соответствующие количества реактивов.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3.10.2. Метод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10485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100 г (72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платиновую или фарфоровую чашку,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4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 и выпаривают до появления паров белого цвета. Затем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5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выпаривают до появления белых паров. Остаток охлаждают и осторожно смывают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6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в колбу прибора и далее определение проводят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оптическая плотность анализируемого раствора не будет выше оптической плотности растворов, содержащих: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- 0,003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При разногласиях в оценке массовой доли мышьяка анализ проводят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3.10.1, 3.10.2.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тяжелых металлов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50 г (36,0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7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платиновую или кварцевую чашку и выпаривают на водяной бане или под инфракрасной лампой.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Остаток растворяют в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8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25%, смывают содержимое чашки водой в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9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притертой пробкой), прибавляют 1 каплю спиртового раствора фенолфталеина с массовой долей 0,1%, нейтрализуют раствором аммиака с массовой долей 10% до появления розовой окраски и доводят объем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0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определение проводят сероводородным методом.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1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одну каплю раствора фенолфталеина, количество раствора аммиака, израсходованное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нейтрализацию,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2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3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аммония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4" type="#_x0000_t75" alt="ГОСТ 4461-77 Реактивы. Кислота азот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проводить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(визуально)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тяжелых металлов анализ проводят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упаковывают, герметизируют и маркируют в соответствии с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упаковки: 3-1; 3-5; 3-6; 3-8; 8-1; 8-2; 10-1.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 согласованию с потребителем транспортировать реактивную азотную кислоту в железнодорожных цистернах. Цистерны должны быть заполнены не более чем на 95% (по объему). Наливные люки цистерн должны быть тщательно герметизированы.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Не допускается совместное хранение и транспортирование азотной кислоты с органическими веществами, легковоспламеняющимися и горючими веществами, неорганическими веществами, имеющими окислительные свойства.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Транспортная маркировка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на цистерны предупредительной надписи: "Осторожно, берегись ожога!", знаков опасности по </w:t>
      </w:r>
      <w:r w:rsidRPr="005E430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8, подкласс 8.1, черт.8 и 5, классификационный шифр 8151), серийный номер ООН 2032.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5E430E" w:rsidRDefault="005E430E" w:rsidP="005E43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препарата требованиям настоящего стандарта при соблюдении условий транспортирования и хранения.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- 6 месяцев со дня изготовления.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E430E" w:rsidRDefault="005E430E" w:rsidP="005E43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5E430E" w:rsidRDefault="00FC651B" w:rsidP="005E430E">
      <w:pPr>
        <w:rPr>
          <w:szCs w:val="15"/>
        </w:rPr>
      </w:pPr>
    </w:p>
    <w:sectPr w:rsidR="00FC651B" w:rsidRPr="005E430E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3010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67348"/>
    <w:rsid w:val="002B0DD9"/>
    <w:rsid w:val="002D3ACA"/>
    <w:rsid w:val="00313072"/>
    <w:rsid w:val="00362C0C"/>
    <w:rsid w:val="003D53F9"/>
    <w:rsid w:val="003F7A45"/>
    <w:rsid w:val="004136F3"/>
    <w:rsid w:val="00477A04"/>
    <w:rsid w:val="0059308D"/>
    <w:rsid w:val="005B505F"/>
    <w:rsid w:val="005D6E61"/>
    <w:rsid w:val="005E430E"/>
    <w:rsid w:val="005F6566"/>
    <w:rsid w:val="0063010A"/>
    <w:rsid w:val="006B6B83"/>
    <w:rsid w:val="007214CA"/>
    <w:rsid w:val="007C08C1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47CA3"/>
    <w:rsid w:val="00D637C8"/>
    <w:rsid w:val="00D71C2F"/>
    <w:rsid w:val="00DA2684"/>
    <w:rsid w:val="00DA4FBF"/>
    <w:rsid w:val="00DD1738"/>
    <w:rsid w:val="00E77C21"/>
    <w:rsid w:val="00EA54CD"/>
    <w:rsid w:val="00ED1923"/>
    <w:rsid w:val="00F83D64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table" w:customStyle="1" w:styleId="af1">
    <w:name w:val="Light Shading"/>
    <w:basedOn w:val="a1"/>
    <w:uiPriority w:val="60"/>
    <w:rsid w:val="00413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Table Grid"/>
    <w:basedOn w:val="a1"/>
    <w:uiPriority w:val="59"/>
    <w:rsid w:val="0041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7C08C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67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2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48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68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255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7943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916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26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5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81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9897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0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915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92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3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82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1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55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83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0370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538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364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864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0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3101314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65327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895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7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4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27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1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396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942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2415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129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58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56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321417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5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4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0620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962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5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88A9-E209-4074-A7AD-63EA00A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2017-08-23T14:39:00Z</dcterms:created>
  <dcterms:modified xsi:type="dcterms:W3CDTF">2017-08-23T14:39:00Z</dcterms:modified>
</cp:coreProperties>
</file>