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6" w:rsidRDefault="002A6C26" w:rsidP="002A6C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32162-2013 Вещества взрывчатые промышленные. Классификация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32162-2013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Л72</w:t>
      </w:r>
    </w:p>
    <w:p w:rsidR="002A6C26" w:rsidRDefault="002A6C26" w:rsidP="002A6C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2A6C26" w:rsidRDefault="002A6C26" w:rsidP="002A6C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ВЕЩЕСТВА ВЗРЫВЧАТЫЕ ПРОМЫШЛЕННЫЕ</w:t>
      </w:r>
    </w:p>
    <w:p w:rsidR="002A6C26" w:rsidRDefault="002A6C26" w:rsidP="002A6C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Классификация</w:t>
      </w:r>
    </w:p>
    <w:p w:rsidR="002A6C26" w:rsidRDefault="002A6C26" w:rsidP="002A6C2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Commercial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explosives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Classification</w:t>
      </w:r>
      <w:proofErr w:type="spellEnd"/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71.100.30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2014-01-01</w:t>
      </w:r>
    </w:p>
    <w:p w:rsidR="002A6C26" w:rsidRDefault="002A6C26" w:rsidP="002A6C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2A6C26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2A6C26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правила, рекомендации по межгосударственной стандартизации. Правила разработки, принятия,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Открытым акционерным обществом "Государственный научно-исследовательский институт "Кристалл" (ОАО "</w:t>
      </w:r>
      <w:proofErr w:type="spellStart"/>
      <w:r>
        <w:rPr>
          <w:color w:val="2D2D2D"/>
          <w:sz w:val="15"/>
          <w:szCs w:val="15"/>
        </w:rPr>
        <w:t>ГосНИИ</w:t>
      </w:r>
      <w:proofErr w:type="spellEnd"/>
      <w:r>
        <w:rPr>
          <w:color w:val="2D2D2D"/>
          <w:sz w:val="15"/>
          <w:szCs w:val="15"/>
        </w:rPr>
        <w:t xml:space="preserve"> "Кристалл")</w:t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07.06.2013 N 43)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стандарта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9"/>
        <w:gridCol w:w="2527"/>
        <w:gridCol w:w="4563"/>
      </w:tblGrid>
      <w:tr w:rsidR="002A6C26" w:rsidTr="002A6C26">
        <w:trPr>
          <w:trHeight w:val="15"/>
        </w:trPr>
        <w:tc>
          <w:tcPr>
            <w:tcW w:w="3696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</w:tr>
      <w:tr w:rsidR="002A6C26" w:rsidTr="002A6C2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2A6C26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</w:t>
            </w:r>
            <w:r>
              <w:rPr>
                <w:color w:val="2D2D2D"/>
                <w:sz w:val="15"/>
                <w:szCs w:val="15"/>
              </w:rPr>
              <w:br/>
            </w:r>
            <w:r w:rsidRPr="002A6C26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 </w:t>
            </w:r>
            <w:r>
              <w:rPr>
                <w:color w:val="2D2D2D"/>
                <w:sz w:val="15"/>
                <w:szCs w:val="15"/>
              </w:rPr>
              <w:br/>
              <w:t>органа по стандартизации</w:t>
            </w:r>
          </w:p>
        </w:tc>
      </w:tr>
      <w:tr w:rsidR="002A6C26" w:rsidTr="002A6C2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A6C26" w:rsidTr="002A6C2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2A6C26" w:rsidTr="002A6C2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2A6C26" w:rsidTr="002A6C2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</w:tbl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2A6C26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8 ноября 2013 г. N 1378-ст</w:t>
      </w:r>
      <w:r>
        <w:rPr>
          <w:color w:val="2D2D2D"/>
          <w:sz w:val="15"/>
          <w:szCs w:val="15"/>
        </w:rPr>
        <w:t> межгосударственный стандарт ГОСТ 32162-2013 введен в действие в качестве национального стандарта Российской Федерации с 1 января 2014 г.</w:t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ВВЕДЕН ВПЕРВЫЕ</w:t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 информационном указателе "Национальные стандарты", а текст изменений и поправок - в ежемесячном 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 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2A6C26" w:rsidRDefault="002A6C26" w:rsidP="002A6C26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промышленные взрывчатые вещества (далее - </w:t>
      </w:r>
      <w:proofErr w:type="gramStart"/>
      <w:r>
        <w:rPr>
          <w:color w:val="2D2D2D"/>
          <w:sz w:val="15"/>
          <w:szCs w:val="15"/>
        </w:rPr>
        <w:t>ВВ</w:t>
      </w:r>
      <w:proofErr w:type="gramEnd"/>
      <w:r>
        <w:rPr>
          <w:color w:val="2D2D2D"/>
          <w:sz w:val="15"/>
          <w:szCs w:val="15"/>
        </w:rPr>
        <w:t>), а также изделия на основе ВВ и устанавливает их классификацию по условиям применения при взрывных работах.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использована ссылка на </w:t>
      </w:r>
      <w:r w:rsidRPr="002A6C26">
        <w:rPr>
          <w:color w:val="2D2D2D"/>
          <w:sz w:val="15"/>
          <w:szCs w:val="15"/>
        </w:rPr>
        <w:t>ГОСТ 26184-84</w:t>
      </w:r>
      <w:r>
        <w:rPr>
          <w:color w:val="2D2D2D"/>
          <w:sz w:val="15"/>
          <w:szCs w:val="15"/>
        </w:rPr>
        <w:t> Вещества взрывчатые промышленные. Термины и определения.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Общие требования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 Классификация </w:t>
      </w:r>
      <w:proofErr w:type="gramStart"/>
      <w:r>
        <w:rPr>
          <w:color w:val="2D2D2D"/>
          <w:sz w:val="15"/>
          <w:szCs w:val="15"/>
        </w:rPr>
        <w:t>ВВ</w:t>
      </w:r>
      <w:proofErr w:type="gramEnd"/>
      <w:r>
        <w:rPr>
          <w:color w:val="2D2D2D"/>
          <w:sz w:val="15"/>
          <w:szCs w:val="15"/>
        </w:rPr>
        <w:t>, а также изделий на основе ВВ и условия их применения приведены в таблицах 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Таблица 1 - Классы и виды </w:t>
      </w:r>
      <w:proofErr w:type="gramStart"/>
      <w:r>
        <w:rPr>
          <w:color w:val="2D2D2D"/>
          <w:sz w:val="15"/>
          <w:szCs w:val="15"/>
        </w:rPr>
        <w:t>ВВ</w:t>
      </w:r>
      <w:proofErr w:type="gramEnd"/>
      <w:r>
        <w:rPr>
          <w:color w:val="2D2D2D"/>
          <w:sz w:val="15"/>
          <w:szCs w:val="15"/>
        </w:rPr>
        <w:t>, изделий на основе ВВ и условия применения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5"/>
        <w:gridCol w:w="2910"/>
        <w:gridCol w:w="5854"/>
      </w:tblGrid>
      <w:tr w:rsidR="002A6C26" w:rsidTr="002A6C26">
        <w:trPr>
          <w:trHeight w:val="15"/>
        </w:trPr>
        <w:tc>
          <w:tcPr>
            <w:tcW w:w="1848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Класс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Вид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Условие применения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взрывания только на земной поверхности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взрывания на земной поверхности и в забоях подземных выработок, в которых либо отсутствует выделение горючих газов или взрывчатой угольной (сланцевой) пыли, либо применяется </w:t>
            </w:r>
            <w:proofErr w:type="spellStart"/>
            <w:r>
              <w:rPr>
                <w:color w:val="2D2D2D"/>
                <w:sz w:val="15"/>
                <w:szCs w:val="15"/>
              </w:rPr>
              <w:t>инертизация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призабойного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пространства, </w:t>
            </w:r>
            <w:proofErr w:type="gramStart"/>
            <w:r>
              <w:rPr>
                <w:color w:val="2D2D2D"/>
                <w:sz w:val="15"/>
                <w:szCs w:val="15"/>
              </w:rPr>
              <w:t>исключающая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воспламенение взрывоопасной среды при взрывных работах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взрывания только по породе в забоях подземных выработок, в которых имеется выделение горючих газов, но отсутствует взрывчатая угольная (сланцевая) пыль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Для взрывания: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по углю и/или породе или горючим сланцам в забоях подземных выработок, опасных по взрыву угольной (сланцевой) пыли при отсутствии выделения горючих газов;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по углю и/или породе в забоях подземных выработок, проводимых по угольному пласту, в которых имеется выделение горючих газов, кроме выработок с повышенным выделением горючих газов;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сотрясательного взрывания в забоях подземных угольных шахт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Для взрывания по углю и/или породе в выработках с повышенным выделением горючих газов, проводимых по угольному пласту, когда исключен контакт боковой поверхности шпурового заряда с </w:t>
            </w:r>
            <w:proofErr w:type="spellStart"/>
            <w:r>
              <w:rPr>
                <w:color w:val="2D2D2D"/>
                <w:sz w:val="15"/>
                <w:szCs w:val="15"/>
              </w:rPr>
              <w:t>газовоздушной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смесью, находящейся либо в пересекающих шпур трещинах массива горных пород, либо в выработке</w:t>
            </w:r>
            <w:proofErr w:type="gramEnd"/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Для взрывания: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по углю и/или породе в выработках с повышенным выделением горючих газов, проводимых в условиях, когда возможен контакт боковой поверхности шпурового заряда с </w:t>
            </w:r>
            <w:proofErr w:type="spellStart"/>
            <w:r>
              <w:rPr>
                <w:color w:val="2D2D2D"/>
                <w:sz w:val="15"/>
                <w:szCs w:val="15"/>
              </w:rPr>
              <w:t>газовоздушной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смесью, находящейся либо в пересекающих шпур трещинах горного массива, либо в выработке;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в угольных и смешанных забоях восстающих (с углом более 10°) выработок, в которых выделяется горючий газ, при длине выработок более 20 м и проведении их без предварительно пробуренных скважин, обеспечивающих проветривание за счет </w:t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общешахтной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депрессии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VII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изделия на основе предохранительных ВВ V-VI классов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ведения специальных взрывных работ (</w:t>
            </w:r>
            <w:proofErr w:type="spellStart"/>
            <w:r>
              <w:rPr>
                <w:color w:val="2D2D2D"/>
                <w:sz w:val="15"/>
                <w:szCs w:val="15"/>
              </w:rPr>
              <w:t>водораспыление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распыление порошкообразных ингибиторов, взрывное перебивание деревянных стоек при посадке кровли, ликвидация зависания горной массы в </w:t>
            </w:r>
            <w:proofErr w:type="spellStart"/>
            <w:r>
              <w:rPr>
                <w:color w:val="2D2D2D"/>
                <w:sz w:val="15"/>
                <w:szCs w:val="15"/>
              </w:rPr>
              <w:t>углеперепускных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выработках, дробление негабаритов) в забоях подземных выработок, в которых возможно образование взрывоопасной концентрации горючего газа и угольной пыли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Специальный (С)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Непредохранительные и предохранительные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изделия на их основе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ведения специальных взрывных работ, кроме забоев подземных выработок, в которых возможно образование взрывоопасной концентрации горючего газа и угольной (сланцевой) пыли</w:t>
            </w:r>
          </w:p>
        </w:tc>
      </w:tr>
    </w:tbl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Таблица 2 - Группы </w:t>
      </w:r>
      <w:proofErr w:type="gramStart"/>
      <w:r>
        <w:rPr>
          <w:color w:val="2D2D2D"/>
          <w:sz w:val="15"/>
          <w:szCs w:val="15"/>
        </w:rPr>
        <w:t>ВВ</w:t>
      </w:r>
      <w:proofErr w:type="gramEnd"/>
      <w:r>
        <w:rPr>
          <w:color w:val="2D2D2D"/>
          <w:sz w:val="15"/>
          <w:szCs w:val="15"/>
        </w:rPr>
        <w:t xml:space="preserve"> специального класса (изделия на их основе) и условия применения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5"/>
        <w:gridCol w:w="8744"/>
      </w:tblGrid>
      <w:tr w:rsidR="002A6C26" w:rsidTr="002A6C26">
        <w:trPr>
          <w:trHeight w:val="15"/>
        </w:trPr>
        <w:tc>
          <w:tcPr>
            <w:tcW w:w="1848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Группа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специального класса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Условие применения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Взрывные работы на земной поверхности: импульсная обработка металлов; инициирование скважинных и других сосредоточенных зарядов; контурное взрывание для </w:t>
            </w:r>
            <w:proofErr w:type="spellStart"/>
            <w:r>
              <w:rPr>
                <w:color w:val="2D2D2D"/>
                <w:sz w:val="15"/>
                <w:szCs w:val="15"/>
              </w:rPr>
              <w:t>заоткоски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уступов; разрушение мерзлых грунтов; дробление негабаритных кусков горной массы; сейсморазведочные работы в скважинах; создание заградительных полос при локализации лесных пожаров, другие специальные работы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Взрывные работы в забоях подземных выработок, не опасных по газу и/или угольной (сланцевой) пыли; взрывание сульфидных руд; дробление негабаритных кусков горной массы; контурное взрывание и другие специальные работы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Прострелочно-взрывные работы в разведочных, нефтяных, газовых скважинах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Взрывные работы в серных, нефтяных и др. шахтах, опасных по взрыву серной пыли, водорода и паров тяжелых углеводородов</w:t>
            </w:r>
          </w:p>
        </w:tc>
      </w:tr>
    </w:tbl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 В зависимости от класса </w:t>
      </w:r>
      <w:proofErr w:type="gramStart"/>
      <w:r>
        <w:rPr>
          <w:color w:val="2D2D2D"/>
          <w:sz w:val="15"/>
          <w:szCs w:val="15"/>
        </w:rPr>
        <w:t>ВВ</w:t>
      </w:r>
      <w:proofErr w:type="gramEnd"/>
      <w:r>
        <w:rPr>
          <w:color w:val="2D2D2D"/>
          <w:sz w:val="15"/>
          <w:szCs w:val="15"/>
        </w:rPr>
        <w:t>, группы ВВ специального класса, а также изделий на основе ВВ и условий их применения оболочки патронов (пачек) или отличительные полосы, наносимые на патроны (пачки), изделия, ящики или мешки, должны иметь цвета, которые приведены в таблицах А.1 и А.2 (см. приложение 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A6C26" w:rsidRDefault="002A6C26" w:rsidP="002A6C2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Цвет оболочек патронов (пачек) или отличительной полосы, наносимой на патроны, пачки, изделия или мешки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Цвет оболочек патронов (пачек) или отличительной полосы, наносимой на патроны (пачки), изделия, ящики или мешки, для </w:t>
      </w:r>
      <w:proofErr w:type="gramStart"/>
      <w:r>
        <w:rPr>
          <w:color w:val="2D2D2D"/>
          <w:sz w:val="15"/>
          <w:szCs w:val="15"/>
        </w:rPr>
        <w:t>ВВ</w:t>
      </w:r>
      <w:proofErr w:type="gramEnd"/>
      <w:r>
        <w:rPr>
          <w:color w:val="2D2D2D"/>
          <w:sz w:val="15"/>
          <w:szCs w:val="15"/>
        </w:rPr>
        <w:t xml:space="preserve"> классов I-VII и изделий на основе ВВ приведены в таблице А.1, а для групп ВВ специального класса - в таблице А.2.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5"/>
        <w:gridCol w:w="8794"/>
      </w:tblGrid>
      <w:tr w:rsidR="002A6C26" w:rsidTr="002A6C26">
        <w:trPr>
          <w:trHeight w:val="15"/>
        </w:trPr>
        <w:tc>
          <w:tcPr>
            <w:tcW w:w="1848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Класс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оболочек патронов (пачек) или отличительной полосы, наносимой на патроны (пачки), изделия, ящики или мешки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Белый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Синий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IV-VII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Желтый</w:t>
            </w:r>
          </w:p>
        </w:tc>
      </w:tr>
    </w:tbl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8"/>
        <w:gridCol w:w="8741"/>
      </w:tblGrid>
      <w:tr w:rsidR="002A6C26" w:rsidTr="002A6C26">
        <w:trPr>
          <w:trHeight w:val="15"/>
        </w:trPr>
        <w:tc>
          <w:tcPr>
            <w:tcW w:w="1848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2A6C26" w:rsidRDefault="002A6C26">
            <w:pPr>
              <w:rPr>
                <w:sz w:val="2"/>
                <w:szCs w:val="24"/>
              </w:rPr>
            </w:pP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Группа </w:t>
            </w:r>
            <w:proofErr w:type="gramStart"/>
            <w:r>
              <w:rPr>
                <w:color w:val="2D2D2D"/>
                <w:sz w:val="15"/>
                <w:szCs w:val="15"/>
              </w:rPr>
              <w:t>ВВ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специального</w:t>
            </w:r>
            <w:r>
              <w:rPr>
                <w:color w:val="2D2D2D"/>
                <w:sz w:val="15"/>
                <w:szCs w:val="15"/>
              </w:rPr>
              <w:br/>
              <w:t>класса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оболочек патронов (пачек) или отличительной полосы, наносимой на патроны (пачки), изделия, ящики или мешки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Белый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Черный</w:t>
            </w:r>
          </w:p>
        </w:tc>
      </w:tr>
      <w:tr w:rsidR="002A6C26" w:rsidTr="002A6C2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6C26" w:rsidRDefault="002A6C2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Зеленый</w:t>
            </w:r>
          </w:p>
        </w:tc>
      </w:tr>
    </w:tbl>
    <w:p w:rsidR="002A6C26" w:rsidRDefault="002A6C26" w:rsidP="002A6C2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____________________________________________________________________________________</w:t>
      </w:r>
      <w:r>
        <w:rPr>
          <w:color w:val="2D2D2D"/>
          <w:sz w:val="15"/>
          <w:szCs w:val="15"/>
        </w:rPr>
        <w:br/>
        <w:t>УДК 662.3:3.001.33:006.354 МКС 71.100.30 Л72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Ключевые слова: промышленные взрывчатые вещества, класс, группа, условия применения </w:t>
      </w:r>
      <w:r>
        <w:rPr>
          <w:color w:val="2D2D2D"/>
          <w:sz w:val="15"/>
          <w:szCs w:val="15"/>
        </w:rPr>
        <w:br/>
        <w:t>____________________________________________________________________________________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2A6C26" w:rsidRDefault="00FC651B" w:rsidP="002A6C26">
      <w:pPr>
        <w:rPr>
          <w:szCs w:val="15"/>
        </w:rPr>
      </w:pPr>
    </w:p>
    <w:sectPr w:rsidR="00FC651B" w:rsidRPr="002A6C26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A41C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A6C26"/>
    <w:rsid w:val="002D3ACA"/>
    <w:rsid w:val="00313072"/>
    <w:rsid w:val="00313CEB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8F182B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A41CC"/>
    <w:rsid w:val="00CE3CDF"/>
    <w:rsid w:val="00D445F4"/>
    <w:rsid w:val="00D637C8"/>
    <w:rsid w:val="00D71C2F"/>
    <w:rsid w:val="00DA4FBF"/>
    <w:rsid w:val="00DD1738"/>
    <w:rsid w:val="00DF351E"/>
    <w:rsid w:val="00E77C21"/>
    <w:rsid w:val="00EA492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84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40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89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7770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8557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40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46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45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8832389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4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04107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46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38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0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70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70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853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875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077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5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7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2545441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6808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9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43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1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74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0450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677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566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99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4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1380518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4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458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883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18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2017-10-02T10:31:00Z</dcterms:created>
  <dcterms:modified xsi:type="dcterms:W3CDTF">2017-10-02T10:31:00Z</dcterms:modified>
</cp:coreProperties>
</file>