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E" w:rsidRDefault="0066099E" w:rsidP="0066099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31290-2005 Платина аффинированная. Технические условия (с Изменением N 1)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31290-2005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66099E" w:rsidRDefault="0066099E" w:rsidP="006609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66099E" w:rsidRDefault="0066099E" w:rsidP="006609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ПЛАТИНА АФФИНИРОВАННАЯ </w:t>
      </w:r>
    </w:p>
    <w:p w:rsidR="0066099E" w:rsidRPr="0066099E" w:rsidRDefault="0066099E" w:rsidP="006609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66099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66099E" w:rsidRPr="0066099E" w:rsidRDefault="0066099E" w:rsidP="006609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66099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Refined platinum.</w:t>
      </w:r>
      <w:proofErr w:type="gramEnd"/>
      <w:r w:rsidRPr="0066099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66099E" w:rsidRP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66099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66099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77.120 </w:t>
      </w:r>
      <w:r w:rsidRPr="0066099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66099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17 5121</w:t>
      </w:r>
      <w:r w:rsidRPr="0066099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17 9431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2008-01-01</w:t>
      </w:r>
    </w:p>
    <w:p w:rsidR="0066099E" w:rsidRDefault="0066099E" w:rsidP="006609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102 "Платиновые металлы"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27 от 22 июня 2005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2678"/>
        <w:gridCol w:w="4432"/>
      </w:tblGrid>
      <w:tr w:rsidR="0066099E" w:rsidTr="0066099E">
        <w:trPr>
          <w:trHeight w:val="15"/>
        </w:trPr>
        <w:tc>
          <w:tcPr>
            <w:tcW w:w="3696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</w:tr>
      <w:tr w:rsidR="0066099E" w:rsidTr="0066099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66099E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66099E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6099E" w:rsidTr="0066099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ТМ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66099E" w:rsidTr="0066099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Государственный комитет Украины по вопросам технического регулирования</w:t>
            </w:r>
          </w:p>
        </w:tc>
      </w:tr>
    </w:tbl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настоящем стандарте учтены показатели и требования стандарта АСТМ Б 561-94 "Стандартная спецификация для аффинированной платины" (ASTM В 561-94) в части химического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29 ноября 2006 г. N 283-ст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31290-2005 введен в действие в качестве национального стандарта Российской Федерации с 1 января 2008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ВЗАМЕН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12341-81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14837-79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от 12.10.2015 N 1538-ст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01.04.2016 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 N 1, 2016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аффинированную платину в слитках и порошке, предназначенную для производства сплавов, полуфабрикатов, химических соединений платины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устанавливает требования к аффинированной платине, предназначенной для потребностей страны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OIML R 76-1-2011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12226-80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Платина. Методы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52518-2006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"Платина. Метод определения потери массы при прокаливании",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52519-2006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"Платина. Метод атомно-эмиссионного анализа с индуктивно связанной плазмой",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52520-2006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"Платина. Методы атомно-эмиссионного анализа с дуговым возбуждением спектра",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52521-2006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"Платина. Метод атомно-эмиссионного анализа с искровым возбуждением спектра.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17527-2003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Упаковка.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 Термины и определения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17527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документ о качестве: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Паспорт, сертификат.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Раздел 2а (Введен дополнительно,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 Классификация, основные параметры и размеры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химического состава платину изготовляют следующих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ПлА-00, ПлА-0, ПлА-1, ПлА-2 - аффинированная платина в слитках;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ПлАП-00, ПлАП-0, ПлАП-1, ПлАП-2 - аффинированная платина в порошке.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аффинированная марки ПлА-00 в слитках: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ПлА-00 ГОСТ 31290-2005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аффинированная марки ПлАП-00 в порошке: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ПлАП-00 ГОСТ 31290-2005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Слиток платины должен быть прямоугольной формы длиной (100±3) мм и шириной (65±2) мм. Высота слитка не регламентируется.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Масса слитка должна быть не более 5,5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согласованию изготовителя с заказчиком допускается изготовление платины в слитках других форм, размеров и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Размер частиц порошка платины должен быть не более 1,6 мм. Допускается наличие частиц порошка размером более 1,6 мм в количестве, не превышающем 2%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66099E" w:rsidRDefault="0066099E" w:rsidP="0066099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4.1 Характеристики (свойства)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Платина аффинированная (далее - платина) должна соответствовать требованиям настоящего стандарта и изготовляться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 Химический состав платины в слитках и в порошке должен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платины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6"/>
        <w:gridCol w:w="1367"/>
        <w:gridCol w:w="1353"/>
        <w:gridCol w:w="1367"/>
        <w:gridCol w:w="1367"/>
        <w:gridCol w:w="1369"/>
      </w:tblGrid>
      <w:tr w:rsidR="0066099E" w:rsidTr="0066099E">
        <w:trPr>
          <w:trHeight w:val="15"/>
        </w:trPr>
        <w:tc>
          <w:tcPr>
            <w:tcW w:w="4066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</w:tr>
      <w:tr w:rsidR="0066099E" w:rsidTr="0066099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Элемент*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%, по маркам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ПлА-00, ПлАП-00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ПлА-0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ПлАП-0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ПлА-1,</w:t>
            </w:r>
            <w:r>
              <w:rPr>
                <w:color w:val="2D2D2D"/>
                <w:sz w:val="15"/>
                <w:szCs w:val="15"/>
              </w:rPr>
              <w:br/>
              <w:t>ПлАП-1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ПлА-2, ПлАП-2</w:t>
            </w:r>
          </w:p>
        </w:tc>
      </w:tr>
      <w:tr w:rsidR="0066099E" w:rsidTr="0066099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не менее (по разности)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</w:tr>
      <w:tr w:rsidR="0066099E" w:rsidTr="0066099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рутений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металлов платиновой группы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висмут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теллур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молибден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6099E" w:rsidTr="0066099E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По согласованию с потребителем допускается расширение числа определяемых элементов и определение их предельно допустимых массовых долей, а также определение потерь при прокаливании для платины в порошке по методикам предприятия-изготовителя.</w:t>
            </w:r>
          </w:p>
        </w:tc>
      </w:tr>
    </w:tbl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 Поверхность слитков должна быть без заусенцев, наплывов, жировых и масляных пятен, неметаллических и других посторонних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зачистка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отдельных поверхностных повреждений на тех сторонах слитка, где нет маркировки. Количество зачищенных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зачеканенных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мест должно быть не более пяти.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Глубина зачищенных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зачеканенных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мест на поверхности слитков не должна превышать 1 мм. Следы от механической обработки браковочными признаками не являются.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 Порошок платины не должен содержать посторонних механических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4.1.5 Платина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4.2 Маркировка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На лицевую поверхность каждого слитка платины наносят маркировку, состоящую из шести оттисков: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(шифра)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символики государства-изготовителя;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символа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платины,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массы слитка,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нанесение других оттисков клейм (год выпуска, логотип предприятия)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Оттиски на слитках должны быть четкими, линии оттиска не должны иметь разрывов, не должны быть сдвоенными.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Порядок расположения маркировки слитка платины устанавливает национальный нормативный документ государства-изготовителя, при его отсутствии - изготовитель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Аффинированную платину в порошке упаковывают в потребительскую тару - банки или ампулы, обеспечивающую сохранность порошка при взвешивании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 дополнительно,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 На каждую банку с порошком наклеивают этикетку, содержащую: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места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платины,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массу брутто, нетто и тары,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 На каждую ампулу наклеивают этикетку, содержащую: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массу нетто,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платины,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4.2.5 (Исключен,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4.3 Упаковка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Слитки платины и потребительскую тару с платиной в порошке упаковывают в транспортную тару (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17527</w:t>
      </w:r>
      <w:r>
        <w:rPr>
          <w:rFonts w:ascii="Arial" w:hAnsi="Arial" w:cs="Arial"/>
          <w:color w:val="2D2D2D"/>
          <w:spacing w:val="1"/>
          <w:sz w:val="15"/>
          <w:szCs w:val="15"/>
        </w:rPr>
        <w:t>). Виды тары, способы упаковки и упаковочные материалы должны обеспечить защиту слитков и потребительской тары с порошком от повреждений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каждую единицу транспортной тары наклеивают или закрепляют иным способом этикетку (бирку) с указанием номера места, номера спецификации, а также других реквизитов, необходимых для доставки груза получателю.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отгрузке порошка платины в ампулах транспортную тару дополнительно маркируют по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 манипуляционного знака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аждую единицу транспортной тары пломбируют или опечатывают пломбой или печатью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4.3.4 Каждая партия платины сопровождается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платины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- массовую долю каждой определяемой примеси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контроля качества;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аждая поставка платины сопровождается спецификацией.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спецификации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наименование металла и его марка;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мест;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слитков (потребительской тары);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каждого слитка (нетто каждой единицы потребительской тары),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массовая доля платины,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чистой платины,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массовая доля каждой определяемой примеси,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общая масса партии,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4.3.6 Документ о качестве и спецификацию,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защищенные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полиэтиленовой пленкой, вкладывают в одно из упаковочных мест. На упаковочное место наносят маркировку "Документ здесь".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отправлять потребителю пакет документов отдельно.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4.3 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Платину предъявляют к приемке партиями.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платины в слитках должна состоять из металла одной плавки. Количество слитков в партии не нормируется.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платины в порошке должна состоять из металла, полученного в одном технологическом цикле.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платины должна быть не более 350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5.2, 5.3 (Исключены,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химического состава от каждой партии отбирают пробу (для платины в слитках - по 6.3, для платины в порошке - по 6.4).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Контролю качества поверхности и наличия посторонних включений, а также массы и размеров слитков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 Проверке качества упаковки, маркировки и правильности оформления сопроводительной документации подлежит каждая партия платины, каждый слиток, каждая банка, каждая ампула.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возникновении разногласий в оценке химического состава у изготовителя и заказчика хотя бы по одному из показателей проводят анализ контрольной пробы, хранящейся у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Контроль качества поверхности слитков платины проводят визуально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размеров проводят с помощью средств измерения, обеспечивающих необходимую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массы слитков, порошка в банках, ампулах проводят взвешиванием на весах, соответствующих требованиям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OIML R 76-1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применение других средств измерений массы, обеспечивающих погрешность взвешивания в соответствии с таблицей 2.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граммах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3"/>
        <w:gridCol w:w="5346"/>
      </w:tblGrid>
      <w:tr w:rsidR="0066099E" w:rsidTr="0066099E">
        <w:trPr>
          <w:trHeight w:val="15"/>
        </w:trPr>
        <w:tc>
          <w:tcPr>
            <w:tcW w:w="5544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6099E" w:rsidRDefault="0066099E">
            <w:pPr>
              <w:rPr>
                <w:sz w:val="2"/>
                <w:szCs w:val="24"/>
              </w:rPr>
            </w:pPr>
          </w:p>
        </w:tc>
      </w:tr>
      <w:tr w:rsidR="0066099E" w:rsidTr="006609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</w:t>
            </w:r>
          </w:p>
        </w:tc>
      </w:tr>
      <w:tr w:rsidR="0066099E" w:rsidTr="006609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200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±0,0075</w:t>
            </w:r>
          </w:p>
        </w:tc>
      </w:tr>
      <w:tr w:rsidR="0066099E" w:rsidTr="006609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200 до 1000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±0,01</w:t>
            </w:r>
          </w:p>
        </w:tc>
      </w:tr>
      <w:tr w:rsidR="0066099E" w:rsidTr="006609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99E" w:rsidRDefault="006609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</w:tr>
    </w:tbl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Гранулометрический состав порошка платины гарантируют технологией.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Наличие механических примесей определяют по объединенной пробе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химического состава платины пробу отбирают из расплава с получением пробных слитков или стержней для спектрального анализа или другим методом отбора по методике предприятия-изготовителя, не снижающим представительности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Поверхность пробных слитков и стержней должна быть плоской и обработанной резанием или шлифовкой.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отбирать пробу путем снятия стружки размером не более 1 мм от каждого слитка партии с одной предварительно зачищенной плоскости, масса объединенной пробы должна быть не менее 150 г, масса готовой пробы - не менее 120 г. Минимальная масса пробы для партии из одного-двух слитков - 60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химического состава платины в слитках у заказчика, при необходимости, может проводиться на пробах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отбираемых от любых двух слитков партии путем сверления противоположных углов и сторон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определения химического состава и размера частиц порошка платины отбирают пробу. Для этого партию порошка перемешивают шесть раз на кольцо и конус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перемешиванием на каждой стадии до массы объединенной пробы не менее 5% массы партии. Объединенную пробу просеивают через сито с ячейкой размером 1,6 мм по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усредняют и сокращают до массы готовой пробы (не менее 200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отбор готовой пробы методом пресечения струи порошка платины при его выгрузке из смесителя после механического усреднения.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Анализ химического состава платины проводят по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12226</w:t>
      </w:r>
      <w:r>
        <w:rPr>
          <w:rFonts w:ascii="Arial" w:hAnsi="Arial" w:cs="Arial"/>
          <w:color w:val="2D2D2D"/>
          <w:spacing w:val="1"/>
          <w:sz w:val="15"/>
          <w:szCs w:val="15"/>
        </w:rPr>
        <w:t>* и другим методикам, обеспечивающим точность не ниже установленной указанным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52518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Р 52519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Р 52520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6099E">
        <w:rPr>
          <w:rFonts w:ascii="Arial" w:hAnsi="Arial" w:cs="Arial"/>
          <w:color w:val="2D2D2D"/>
          <w:spacing w:val="1"/>
          <w:sz w:val="15"/>
          <w:szCs w:val="15"/>
        </w:rPr>
        <w:t>ГОСТ Р 52521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Изготовитель гарантирует содержание платины в слитках и порошке в соответствии с требованиями 4.1.2.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Срок хранения контрольной пробы - 30 календарных дней со дня отгрузки потребителю, если иное не предусмотрено условиями договора.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099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099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Платину в слитках и порошке транспортируют и хранят в соответствии с требованиями федеральных финансовых органов государства-изготовителя.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7.1.1 Транспортирование платины осуществляют в упакованном виде и в соответствии с нормативными требованиями организации, осуществляющей перевозку.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099E" w:rsidRDefault="0066099E" w:rsidP="006609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7.1.2 Хранение платины у изготовителя и потребителя проводят в упакованном виде в условиях, обеспечивающих сохранность продукции от повреждений и порчи.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платины в упаковке изготовителя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6099E" w:rsidRDefault="00177C25" w:rsidP="0066099E">
      <w:pPr>
        <w:rPr>
          <w:szCs w:val="15"/>
        </w:rPr>
      </w:pPr>
    </w:p>
    <w:sectPr w:rsidR="00177C25" w:rsidRPr="0066099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80D2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C1AC1"/>
    <w:multiLevelType w:val="multilevel"/>
    <w:tmpl w:val="41E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D47DD"/>
    <w:multiLevelType w:val="multilevel"/>
    <w:tmpl w:val="5C7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A60D7"/>
    <w:multiLevelType w:val="multilevel"/>
    <w:tmpl w:val="DE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12C30"/>
    <w:multiLevelType w:val="multilevel"/>
    <w:tmpl w:val="C98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76255"/>
    <w:multiLevelType w:val="multilevel"/>
    <w:tmpl w:val="542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A515C"/>
    <w:multiLevelType w:val="multilevel"/>
    <w:tmpl w:val="E3C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24DC1"/>
    <w:multiLevelType w:val="multilevel"/>
    <w:tmpl w:val="355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6560A"/>
    <w:multiLevelType w:val="multilevel"/>
    <w:tmpl w:val="234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73191"/>
    <w:multiLevelType w:val="multilevel"/>
    <w:tmpl w:val="95F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5735A"/>
    <w:multiLevelType w:val="multilevel"/>
    <w:tmpl w:val="4EC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6016C"/>
    <w:multiLevelType w:val="multilevel"/>
    <w:tmpl w:val="8FD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34BDB"/>
    <w:multiLevelType w:val="multilevel"/>
    <w:tmpl w:val="CE2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C4DC9"/>
    <w:multiLevelType w:val="multilevel"/>
    <w:tmpl w:val="C14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438E6"/>
    <w:multiLevelType w:val="multilevel"/>
    <w:tmpl w:val="1A5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04B6B"/>
    <w:multiLevelType w:val="multilevel"/>
    <w:tmpl w:val="1B7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29C8"/>
    <w:multiLevelType w:val="multilevel"/>
    <w:tmpl w:val="488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31"/>
  </w:num>
  <w:num w:numId="4">
    <w:abstractNumId w:val="4"/>
  </w:num>
  <w:num w:numId="5">
    <w:abstractNumId w:val="22"/>
  </w:num>
  <w:num w:numId="6">
    <w:abstractNumId w:val="16"/>
  </w:num>
  <w:num w:numId="7">
    <w:abstractNumId w:val="14"/>
  </w:num>
  <w:num w:numId="8">
    <w:abstractNumId w:val="5"/>
  </w:num>
  <w:num w:numId="9">
    <w:abstractNumId w:val="26"/>
  </w:num>
  <w:num w:numId="10">
    <w:abstractNumId w:val="8"/>
  </w:num>
  <w:num w:numId="11">
    <w:abstractNumId w:val="9"/>
  </w:num>
  <w:num w:numId="12">
    <w:abstractNumId w:val="13"/>
  </w:num>
  <w:num w:numId="13">
    <w:abstractNumId w:val="25"/>
  </w:num>
  <w:num w:numId="14">
    <w:abstractNumId w:val="11"/>
  </w:num>
  <w:num w:numId="15">
    <w:abstractNumId w:val="3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27"/>
  </w:num>
  <w:num w:numId="21">
    <w:abstractNumId w:val="33"/>
  </w:num>
  <w:num w:numId="22">
    <w:abstractNumId w:val="32"/>
  </w:num>
  <w:num w:numId="23">
    <w:abstractNumId w:val="6"/>
  </w:num>
  <w:num w:numId="24">
    <w:abstractNumId w:val="21"/>
  </w:num>
  <w:num w:numId="25">
    <w:abstractNumId w:val="23"/>
  </w:num>
  <w:num w:numId="26">
    <w:abstractNumId w:val="24"/>
  </w:num>
  <w:num w:numId="27">
    <w:abstractNumId w:val="19"/>
  </w:num>
  <w:num w:numId="28">
    <w:abstractNumId w:val="20"/>
  </w:num>
  <w:num w:numId="29">
    <w:abstractNumId w:val="17"/>
  </w:num>
  <w:num w:numId="30">
    <w:abstractNumId w:val="15"/>
  </w:num>
  <w:num w:numId="31">
    <w:abstractNumId w:val="18"/>
  </w:num>
  <w:num w:numId="32">
    <w:abstractNumId w:val="10"/>
  </w:num>
  <w:num w:numId="33">
    <w:abstractNumId w:val="7"/>
  </w:num>
  <w:num w:numId="34">
    <w:abstractNumId w:val="1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4033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6099E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80D2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k">
    <w:name w:val="ask"/>
    <w:basedOn w:val="a"/>
    <w:rsid w:val="0012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12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29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33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7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887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579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7444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483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909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90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5211222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32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8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20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734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5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1403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65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6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704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5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319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302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1055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630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95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56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8204229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5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50768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75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2017-08-16T13:24:00Z</dcterms:created>
  <dcterms:modified xsi:type="dcterms:W3CDTF">2017-08-16T13:24:00Z</dcterms:modified>
</cp:coreProperties>
</file>