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EC" w:rsidRDefault="00A248EC" w:rsidP="00A248E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28407.0-89 Концентрат висмутовый. Общие требования к методам анализа</w:t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28407.0-89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А39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A248EC" w:rsidRDefault="00A248EC" w:rsidP="00A248E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КОНЦЕНТРАТ ВИСМУТОВЫЙ</w:t>
      </w:r>
    </w:p>
    <w:p w:rsidR="00A248EC" w:rsidRDefault="00A248EC" w:rsidP="00A248E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требования к методам анализа</w:t>
      </w:r>
    </w:p>
    <w:p w:rsidR="00A248EC" w:rsidRPr="00A248EC" w:rsidRDefault="00A248EC" w:rsidP="00A248E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A248EC">
        <w:rPr>
          <w:rFonts w:ascii="Arial" w:hAnsi="Arial" w:cs="Arial"/>
          <w:color w:val="3C3C3C"/>
          <w:spacing w:val="1"/>
          <w:sz w:val="22"/>
          <w:szCs w:val="22"/>
          <w:lang w:val="en-US"/>
        </w:rPr>
        <w:t>Bismuth concentrate. General requirements for methods of analysis</w:t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ОКСТУ 1709</w:t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01.01.91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01.01.96*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См. ярлык "Примечания".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Л.Е.Вохрышева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канд. хим. наук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25.12.89 N 4091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первой проверки - 1995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3"/>
        <w:gridCol w:w="4366"/>
      </w:tblGrid>
      <w:tr w:rsidR="00A248EC" w:rsidTr="00A248EC">
        <w:trPr>
          <w:trHeight w:val="15"/>
        </w:trPr>
        <w:tc>
          <w:tcPr>
            <w:tcW w:w="6468" w:type="dxa"/>
            <w:hideMark/>
          </w:tcPr>
          <w:p w:rsidR="00A248EC" w:rsidRDefault="00A248E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248EC" w:rsidRDefault="00A248EC">
            <w:pPr>
              <w:rPr>
                <w:sz w:val="2"/>
                <w:szCs w:val="24"/>
              </w:rPr>
            </w:pPr>
          </w:p>
        </w:tc>
      </w:tr>
      <w:tr w:rsidR="00A248EC" w:rsidTr="00A248EC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A248EC" w:rsidTr="00A248EC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8.010-72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8.505-84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12.0.004-79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23, 29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12.1.004-85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12.1.005-76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13, 26, 27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12.1.016-79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12.1.019-79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12.1.038-82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12.2.007.0-75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24104-80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248EC">
              <w:rPr>
                <w:color w:val="2D2D2D"/>
                <w:sz w:val="15"/>
                <w:szCs w:val="15"/>
              </w:rPr>
              <w:t>ГОСТ 27329-87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A248EC" w:rsidTr="00A248EC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A248EC">
              <w:rPr>
                <w:color w:val="2D2D2D"/>
                <w:sz w:val="15"/>
                <w:szCs w:val="15"/>
              </w:rPr>
              <w:t>СНиП</w:t>
            </w:r>
            <w:proofErr w:type="spellEnd"/>
            <w:r w:rsidRPr="00A248EC">
              <w:rPr>
                <w:color w:val="2D2D2D"/>
                <w:sz w:val="15"/>
                <w:szCs w:val="15"/>
              </w:rPr>
              <w:t xml:space="preserve"> 2.09.04-87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48EC" w:rsidRDefault="00A248E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</w:tbl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Общие требования к методам анализа - по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27329</w:t>
      </w:r>
      <w:r>
        <w:rPr>
          <w:rFonts w:ascii="Arial" w:hAnsi="Arial" w:cs="Arial"/>
          <w:color w:val="2D2D2D"/>
          <w:spacing w:val="1"/>
          <w:sz w:val="15"/>
          <w:szCs w:val="15"/>
        </w:rPr>
        <w:t>. Отбор проб - по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14180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Массовые доли висмута, свинца и меди определяют на двух, золота и серебра - на трех параллельных навесках.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окончательный результат анализа принимают среднее арифметическое результатов параллельных определений, расхождение между которыми не превышает допускаемых расхождений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alt="ГОСТ 28407.0-89 Концентрат висмутовый. Общие требования к методам анализа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=0,95, указанных в соответствующих стандартах.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 Одновременно с проведением анализа в тех же условиях проводят два, а при определении золота и серебра - три контрольных опыта для внесения в результат определения поправки или же проводят измерения, касающиеся контрольных опытов.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Если в методике анализа не указана концентрация или степень разбавления раствора реактива (кислота, аммиак и т.д.), то имеется в виду концентрированный раствор реактива.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Для проведения анализа применяют мерную лабораторную стеклянную посуду не ниже 2-го класса точности по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20292</w:t>
      </w:r>
      <w:r>
        <w:rPr>
          <w:rFonts w:ascii="Arial" w:hAnsi="Arial" w:cs="Arial"/>
          <w:color w:val="2D2D2D"/>
          <w:spacing w:val="1"/>
          <w:sz w:val="15"/>
          <w:szCs w:val="15"/>
        </w:rPr>
        <w:t> (бюретки, пипетки) и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(цилиндры, мензурки, колбы), посуду и оборудование по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, фарфоровую посуду и оборудование (тигли, вставки для эксикаторов и др.) по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При взвешивании, если нет особых указаний, используют лабораторные весы общего назначения по ГОСТ 24104 2-го класса точности с наибольшим пределом взвешивания 200 г и 3-го класса точности с наибольшим пределом взвешивания 500 г или 4-го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правильности результатов анализа осуществляют с помощью стандартных образцов состава висмутового концентрата, методом добавок или сопоставлением результатов анализа, полученных по разным стандартизованным или стандартизованной и аттестованной методикам не реже одного раза в месяц, а также при смене реактивов, растворов, после длительного перерыва в работе.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Контроль правильности результатов анализа по стандартным образцам проводят одновременно с анализом проб путем воспроизведения массовой доли определяемого компонента в стандартном образце.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Среднее арифметическое результатов параллельных определений принимают за воспроизведенную массовую долю определяемого компонента в стандартном образце.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Расхождения между результатами параллельных определений при анализе стандартного образца не должны превышать допускаемых.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проб считаются правильными, если воспроизведенная массовая доля определяемого компонента в стандартном образце отличается от аттестованной характеристики не более чем на значение 0,71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28407.0-89 Концентрат висмутовый. Общие требования к методам анализа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28407.0-89 Концентрат висмутовый. Общие требования к методам анализа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допускаемое расхождение между результатами анализов.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 Контроль правильности результатов анализа методом добавок осуществляют нахождением массовой доли определяемого компонента в концентрате после добавления аликвотной части стандартного раствора определяемого компонента к пробе до проведения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Величину добавки (объем стандартного раствора) выбирают таким образом, чтобы она составляла 50-100% содержания анализируемого компонента в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Среднее арифметическое результатов параллельных определений принимают за массовую долю данного компонента в пробе с добавкой.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Расхождения между результатами параллельных определений в пробе с добавкой не должны превышать допускаемых.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Найденную величину добавки рассчитывают как разность между содержанием определяемого компонента в пробе с добавкой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238760"/>
            <wp:effectExtent l="19050" t="0" r="0" b="0"/>
            <wp:docPr id="239" name="Рисунок 239" descr="ГОСТ 28407.0-89 Концентрат висмутовый. Общие требования к методам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ГОСТ 28407.0-89 Концентрат висмутовый. Общие требования к методам анали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 результатами анализа пробы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4" type="#_x0000_t75" alt="ГОСТ 28407.0-89 Концентрат висмутовый. Общие требования к методам анализа" style="width:26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считаются правильными, если найденная величина добавки отличается от введенной ее величины не более чем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8690" cy="293370"/>
            <wp:effectExtent l="19050" t="0" r="3810" b="0"/>
            <wp:docPr id="241" name="Рисунок 241" descr="ГОСТ 28407.0-89 Концентрат висмутовый. Общие требования к методам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28407.0-89 Концентрат висмутовый. Общие требования к методам анали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6" type="#_x0000_t75" alt="ГОСТ 28407.0-89 Концентрат висмутовый. Общие требования к методам анализа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28407.0-89 Концентрат висмутовый. Общие требования к методам анализа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допускаемые расхождения двух результатов анализа для пробы и пробы с добавкой,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10. Контроль правильности результатов анализа сопоставлением результатов, полученных разными методами, осуществляют сравнением результатов анализа одних и тех же проб, полученных по двум разным стандартизованным методикам или по стандартизованной методике и аттестованной по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8.505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имеющей погрешность, не превышающую погрешность стандартизованной методики.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считаются правильными, если разность (по модулю) между результатом основного и контрольного методов не превышает величины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8690" cy="293370"/>
            <wp:effectExtent l="19050" t="0" r="3810" b="0"/>
            <wp:docPr id="244" name="Рисунок 244" descr="ГОСТ 28407.0-89 Концентрат висмутовый. Общие требования к методам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ГОСТ 28407.0-89 Концентрат висмутовый. Общие требования к методам анали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9" type="#_x0000_t75" alt="ГОСТ 28407.0-89 Концентрат висмутовый. Общие требования к методам анализа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0" type="#_x0000_t75" alt="ГОСТ 28407.0-89 Концентрат висмутовый. Общие требования к методам анализа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допускаемые расхождения между результатами анализов для основного и контрольного методов,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11. Допускается применять методы анализа, не уступающие по точности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стандартизованным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12. Висмутовый концентрат, содержащий соединения свинца, меди и висмута,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взрывобезопасен, токсичен.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Соединения свинца относятся к вредным веществам 1-го класса, висмута и меди - 2-го класса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13. Предельно допустимая концентрация по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: висмута в воздухе рабочей зоны 0,5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1" type="#_x0000_t75" alt="ГОСТ 28407.0-89 Концентрат висмутовый. Общие требования к методам анализа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свинца и его соединений - максимально разовая 0,01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2" type="#_x0000_t75" alt="ГОСТ 28407.0-89 Концентрат висмутовый. Общие требования к методам анализа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среднесменная - 0,005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3" type="#_x0000_t75" alt="ГОСТ 28407.0-89 Концентрат висмутовый. Общие требования к методам анализа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меди - 1,0 и 0,5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4" type="#_x0000_t75" alt="ГОСТ 28407.0-89 Концентрат висмутовый. Общие требования к методам анализа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 анализе висмутового концентрата используют следующие реактивы и материалы, оказывающие вредное воздействие на организм человека: свинец, висмут, медь, ртуть, аммиак, азотную, соляную, серную и уксусную кислоты, бром, хлороформ, толуол, сульфиды нефти, ацетилен, бутан-пропан, соединения ртути, свинца, фтора, нитраты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тетрабораты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 При работе с химическими реактивами, применяемыми для анализа, следует руководствоваться требованиями безопасности, изложенными в нормативно-технической документации на их изготовление и применение.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16. При работе с легковоспламеняющимися органическими веществами (толуол, сульфиды нефти и др.) следует руководствоваться требованиями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12.1.004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17. При использовании сжатых, сжиженных и растворенных газов в процессе анализа требуется соблюдать правила устройства и безопасной эксплуатации сосудов, работающих под давлением, утвержденные Госгортехнадзором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18. Химические анализы должны выполняться в соответствии с основными правилами безопасной работы в химических лабораториях*.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ПНД Ф 12.13.1-03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19. Все работы при проведении анализов следует выполнять в вытяжном шкафу или других местах, оборудованных местной вытяжной вентиляцией, в спецодежде и средствах индивидуальной защиты.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20. Выполнение анализов с использованием ртути должно проводиться в соответствии с санитарными правилами проектирования, эксплуатации и содержания производственных лабораторных помещений, предназначенных для проведения работ с ртутью, ее соединениями и приборами с ртутным заполнением, утвержденными Минздравом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21. Для предотвращения попадания в воздух рабочей зоны вредных веществ, выделяющихся при распылении анализируемых растворов в пламя, в количествах, превышающих предельно допустимые концентрации, горелка атомно-абсорбционного спектрофотометра должна находиться внутри вытяжного устройства, оборудованного защитным экраном.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22. Помещения лабораторий, в которых выполняется анализ висмутового концентрата, необходимо оборудовать системой приточно-вытяжной вентиляции в соответствии с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23. Пожарная безопасность лабораторных помещений должна обеспечиваться в соответствии с требованиями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12.1.004</w:t>
      </w:r>
      <w:r>
        <w:rPr>
          <w:rFonts w:ascii="Arial" w:hAnsi="Arial" w:cs="Arial"/>
          <w:color w:val="2D2D2D"/>
          <w:spacing w:val="1"/>
          <w:sz w:val="15"/>
          <w:szCs w:val="15"/>
        </w:rPr>
        <w:t>. Помещения химической лаборатории должны быть обеспечены средствами огнетушения (огнетушитель с углекислотой, листовой асбест, песок).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24. Все электроустановки и электроаппаратура, применяемые при производстве анализов висмутового концентрата, должны соответствовать требованиям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12.2.007.0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правилам устройства электроустановок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утвержденным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Главгосэнергонадзором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25. Условия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рабочих местах должны соответствовать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12.1.019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12.1.038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правилам технической эксплуатации электроустановок потребителей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правилам техники безопасности при эксплуатации электроустановок потребителей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*, утвержденным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Главгосэнергонадзором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Действуют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 xml:space="preserve">Межотраслевые Правила по охране труда (правила безопасности) при эксплуатации электроустановок" (ПОТ </w:t>
      </w:r>
      <w:proofErr w:type="gramStart"/>
      <w:r w:rsidRPr="00A248E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A248EC">
        <w:rPr>
          <w:rFonts w:ascii="Arial" w:hAnsi="Arial" w:cs="Arial"/>
          <w:color w:val="2D2D2D"/>
          <w:spacing w:val="1"/>
          <w:sz w:val="15"/>
          <w:szCs w:val="15"/>
        </w:rPr>
        <w:t xml:space="preserve"> М-016-2001)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"Правила по охране труда при эксплуатации электроустановок"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26. Содержание вредных веществ в воздухе рабочей зоны (пары кислот, аммиака, аэрозолей реактивов, сероводорода), образующихся в ходе анализа, не должно превышать допустимых концентраций по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вредных веществ в воздухе рабочей зоны лаборатории необходимо осуществлять в соответствии с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методикам, соответствующим требованиям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12.1.016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утвержденным Минздравом СССР. Методики анализа должны быть аттестованы или стандартизованы в соответствии с требованиями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8.010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28. Утилизация или обезвреживание отходов от производства анализов должны проводиться в соответствии с нормативно-технической документацией, согласованной с органами санитарного надзора Минздрава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29. Работающие в лаборатории должны проходить специальный инструктаж по безопасности труда с соответствующим оформлением в установленном порядке согласно </w:t>
      </w:r>
      <w:r w:rsidRPr="00A248EC">
        <w:rPr>
          <w:rFonts w:ascii="Arial" w:hAnsi="Arial" w:cs="Arial"/>
          <w:color w:val="2D2D2D"/>
          <w:spacing w:val="1"/>
          <w:sz w:val="15"/>
          <w:szCs w:val="15"/>
        </w:rPr>
        <w:t>ГОСТ 12.0.004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предварительное обучение безопасным методам работы и правилам обращения с защитными средствами и периодические медицинские осмотры согласно указаниям Минздрава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48EC" w:rsidRDefault="00A248EC" w:rsidP="00A248E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30. Работающие в лаборатории должны быть обеспечены бытовыми помещениями согласно </w:t>
      </w:r>
      <w:proofErr w:type="spellStart"/>
      <w:r w:rsidRPr="00A248EC">
        <w:rPr>
          <w:rFonts w:ascii="Arial" w:hAnsi="Arial" w:cs="Arial"/>
          <w:color w:val="2D2D2D"/>
          <w:spacing w:val="1"/>
          <w:sz w:val="15"/>
          <w:szCs w:val="15"/>
        </w:rPr>
        <w:t>СНиП</w:t>
      </w:r>
      <w:proofErr w:type="spellEnd"/>
      <w:r w:rsidRPr="00A248EC">
        <w:rPr>
          <w:rFonts w:ascii="Arial" w:hAnsi="Arial" w:cs="Arial"/>
          <w:color w:val="2D2D2D"/>
          <w:spacing w:val="1"/>
          <w:sz w:val="15"/>
          <w:szCs w:val="15"/>
        </w:rPr>
        <w:t xml:space="preserve"> 2.09.04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спецодеждой,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другими средствами индивидуальной защиты в соответствии с типовыми отраслевыми нормами.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A248EC" w:rsidRDefault="00177C25" w:rsidP="00A248EC">
      <w:pPr>
        <w:rPr>
          <w:szCs w:val="15"/>
        </w:rPr>
      </w:pPr>
    </w:p>
    <w:p w:rsidR="00A248EC" w:rsidRPr="00A248EC" w:rsidRDefault="00A248EC">
      <w:pPr>
        <w:rPr>
          <w:szCs w:val="15"/>
        </w:rPr>
      </w:pPr>
    </w:p>
    <w:sectPr w:rsidR="00A248EC" w:rsidRPr="00A248EC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01F2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71154E"/>
    <w:multiLevelType w:val="multilevel"/>
    <w:tmpl w:val="137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0452C"/>
    <w:multiLevelType w:val="multilevel"/>
    <w:tmpl w:val="DE74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A1ADB"/>
    <w:multiLevelType w:val="multilevel"/>
    <w:tmpl w:val="F0A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C690A"/>
    <w:multiLevelType w:val="multilevel"/>
    <w:tmpl w:val="C2D0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C53289"/>
    <w:multiLevelType w:val="multilevel"/>
    <w:tmpl w:val="F114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35753"/>
    <w:multiLevelType w:val="multilevel"/>
    <w:tmpl w:val="A62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95354"/>
    <w:multiLevelType w:val="multilevel"/>
    <w:tmpl w:val="EEA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23DDA"/>
    <w:multiLevelType w:val="multilevel"/>
    <w:tmpl w:val="0C0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33148"/>
    <w:multiLevelType w:val="multilevel"/>
    <w:tmpl w:val="930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3274B"/>
    <w:multiLevelType w:val="multilevel"/>
    <w:tmpl w:val="523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27D97"/>
    <w:multiLevelType w:val="multilevel"/>
    <w:tmpl w:val="D07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057A6"/>
    <w:multiLevelType w:val="multilevel"/>
    <w:tmpl w:val="9090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B8475C"/>
    <w:multiLevelType w:val="multilevel"/>
    <w:tmpl w:val="965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7676F"/>
    <w:multiLevelType w:val="multilevel"/>
    <w:tmpl w:val="C43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F4C9B"/>
    <w:multiLevelType w:val="multilevel"/>
    <w:tmpl w:val="33EA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B7C30"/>
    <w:multiLevelType w:val="multilevel"/>
    <w:tmpl w:val="2E7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5"/>
  </w:num>
  <w:num w:numId="5">
    <w:abstractNumId w:val="21"/>
  </w:num>
  <w:num w:numId="6">
    <w:abstractNumId w:val="14"/>
  </w:num>
  <w:num w:numId="7">
    <w:abstractNumId w:val="13"/>
  </w:num>
  <w:num w:numId="8">
    <w:abstractNumId w:val="6"/>
  </w:num>
  <w:num w:numId="9">
    <w:abstractNumId w:val="25"/>
  </w:num>
  <w:num w:numId="10">
    <w:abstractNumId w:val="8"/>
  </w:num>
  <w:num w:numId="11">
    <w:abstractNumId w:val="9"/>
  </w:num>
  <w:num w:numId="12">
    <w:abstractNumId w:val="11"/>
  </w:num>
  <w:num w:numId="13">
    <w:abstractNumId w:val="24"/>
  </w:num>
  <w:num w:numId="14">
    <w:abstractNumId w:val="10"/>
  </w:num>
  <w:num w:numId="15">
    <w:abstractNumId w:val="4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  <w:num w:numId="21">
    <w:abstractNumId w:val="30"/>
  </w:num>
  <w:num w:numId="22">
    <w:abstractNumId w:val="17"/>
  </w:num>
  <w:num w:numId="23">
    <w:abstractNumId w:val="12"/>
  </w:num>
  <w:num w:numId="24">
    <w:abstractNumId w:val="22"/>
  </w:num>
  <w:num w:numId="25">
    <w:abstractNumId w:val="3"/>
  </w:num>
  <w:num w:numId="26">
    <w:abstractNumId w:val="20"/>
  </w:num>
  <w:num w:numId="27">
    <w:abstractNumId w:val="28"/>
  </w:num>
  <w:num w:numId="28">
    <w:abstractNumId w:val="7"/>
  </w:num>
  <w:num w:numId="29">
    <w:abstractNumId w:val="15"/>
  </w:num>
  <w:num w:numId="30">
    <w:abstractNumId w:val="33"/>
  </w:num>
  <w:num w:numId="31">
    <w:abstractNumId w:val="27"/>
  </w:num>
  <w:num w:numId="32">
    <w:abstractNumId w:val="23"/>
  </w:num>
  <w:num w:numId="33">
    <w:abstractNumId w:val="16"/>
  </w:num>
  <w:num w:numId="34">
    <w:abstractNumId w:val="3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248EC"/>
    <w:rsid w:val="00A716F7"/>
    <w:rsid w:val="00A9165C"/>
    <w:rsid w:val="00AA6FD4"/>
    <w:rsid w:val="00B4381A"/>
    <w:rsid w:val="00C01F25"/>
    <w:rsid w:val="00C91654"/>
    <w:rsid w:val="00CE3CDF"/>
    <w:rsid w:val="00D445F4"/>
    <w:rsid w:val="00D637C8"/>
    <w:rsid w:val="00DD1738"/>
    <w:rsid w:val="00E31549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59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07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301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813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608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93595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899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61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131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998489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6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12711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421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08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59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23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542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234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0723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20456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730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520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90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196515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9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28325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90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51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23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09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458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57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1997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380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212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28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1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1546597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675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2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90306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529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9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2017-08-17T08:30:00Z</dcterms:created>
  <dcterms:modified xsi:type="dcterms:W3CDTF">2017-08-17T08:30:00Z</dcterms:modified>
</cp:coreProperties>
</file>