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20" w:rsidRDefault="00591B20" w:rsidP="00591B2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2169-69 Кремний технический. Технические условия (с Изменениями N 1, 2, 3)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ГОСТ 2169-69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591B20" w:rsidRDefault="00591B20" w:rsidP="00591B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591B20" w:rsidRDefault="00591B20" w:rsidP="00591B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КРЕМНИЙ ТЕХНИЧЕСКИЙ </w:t>
      </w:r>
    </w:p>
    <w:p w:rsidR="00591B20" w:rsidRPr="00591B20" w:rsidRDefault="00591B20" w:rsidP="00591B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591B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591B20" w:rsidRPr="00591B20" w:rsidRDefault="00591B20" w:rsidP="00591B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591B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Technical silicon.</w:t>
      </w:r>
      <w:proofErr w:type="gramEnd"/>
      <w:r w:rsidRPr="00591B2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591B20" w:rsidRP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591B2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591B20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591B20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17 1131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1970-07-01</w:t>
      </w:r>
    </w:p>
    <w:p w:rsidR="00591B20" w:rsidRDefault="00591B20" w:rsidP="00591B2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цветной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Комитета стандартов, мер и измерительных приборов при Совете Министров СССР от 16.10.69 N 1129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2169-43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Стандарт унифицирован с БДС 9617-72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591B20" w:rsidTr="00591B20">
        <w:trPr>
          <w:trHeight w:val="15"/>
        </w:trPr>
        <w:tc>
          <w:tcPr>
            <w:tcW w:w="5174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</w:tr>
      <w:tr w:rsidR="00591B20" w:rsidTr="00591B2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591B20" w:rsidTr="00591B2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2991-85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5336-80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6247-79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3.4, 3.8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8777-80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13950-91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19014.0-73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3.4, 3.6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19014.0-73</w:t>
            </w:r>
            <w:r>
              <w:rPr>
                <w:color w:val="2D2D2D"/>
                <w:sz w:val="15"/>
                <w:szCs w:val="15"/>
              </w:rPr>
              <w:t> - </w:t>
            </w:r>
            <w:r w:rsidRPr="00591B20">
              <w:rPr>
                <w:color w:val="2D2D2D"/>
                <w:sz w:val="15"/>
                <w:szCs w:val="15"/>
              </w:rPr>
              <w:t>ГОСТ 19014.4-73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591B20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10.10.739-88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591B20" w:rsidTr="00591B20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591B20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591B20">
              <w:rPr>
                <w:color w:val="2D2D2D"/>
                <w:sz w:val="15"/>
                <w:szCs w:val="15"/>
              </w:rPr>
              <w:t xml:space="preserve"> СЭВ 543-77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</w:tbl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Ограничение срока действия снято по протоколу N 7-95 Межгосударственного Совета по стандартизации, метрологии и сертификации (ИУС N 11-95)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ПЕРЕИЗДАНИЕ с Изменениями N 1, 2, 3, утвержденными в январе 1980 года, июле 1986 года, декабре 1990 года (ИУС 2-80, 10-86, 4-91)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кремний, получаемый путем восстановительной плавки кварцита в дуговых электропечах, предназначенный для изготовления кремнийсодержащих сплавов, кремнийорганической продукции, полупроводникового кремния, а также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спеццелей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Технический кремний изготовляют в соответствии с требованиями настоящего стандарта по технологической инструкции,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1.2. Марки и химический состав кремния должны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3"/>
        <w:gridCol w:w="2322"/>
        <w:gridCol w:w="1272"/>
        <w:gridCol w:w="1089"/>
        <w:gridCol w:w="1276"/>
        <w:gridCol w:w="1269"/>
        <w:gridCol w:w="1638"/>
      </w:tblGrid>
      <w:tr w:rsidR="00591B20" w:rsidTr="00591B20">
        <w:trPr>
          <w:trHeight w:val="15"/>
        </w:trPr>
        <w:tc>
          <w:tcPr>
            <w:tcW w:w="1663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91B20" w:rsidRDefault="00591B20">
            <w:pPr>
              <w:rPr>
                <w:sz w:val="2"/>
                <w:szCs w:val="24"/>
              </w:rPr>
            </w:pPr>
          </w:p>
        </w:tc>
      </w:tr>
      <w:tr w:rsidR="00591B20" w:rsidTr="00591B2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кремния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Кремний, не менее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Алюминий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Кальций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  <w:r>
              <w:rPr>
                <w:color w:val="2D2D2D"/>
                <w:sz w:val="15"/>
                <w:szCs w:val="15"/>
              </w:rPr>
              <w:br/>
              <w:t>определяемых примесей</w:t>
            </w:r>
          </w:p>
        </w:tc>
      </w:tr>
      <w:tr w:rsidR="00591B20" w:rsidTr="00591B20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17 1131 0001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17 1131 0002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17 1131 0003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17 1131 0004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591B20" w:rsidTr="00591B20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17 1131 0005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B20" w:rsidRDefault="00591B2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</w:tbl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Массовая доля кремния устанавливается как разность между 100% и суммой определяемых примесей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Округление результатов анализа кремния до десятых долей для определения его марки проводится в соответствии с </w:t>
      </w:r>
      <w:proofErr w:type="gramStart"/>
      <w:r w:rsidRPr="00591B20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591B20">
        <w:rPr>
          <w:rFonts w:ascii="Arial" w:hAnsi="Arial" w:cs="Arial"/>
          <w:color w:val="2D2D2D"/>
          <w:spacing w:val="1"/>
          <w:sz w:val="15"/>
          <w:szCs w:val="15"/>
        </w:rPr>
        <w:t xml:space="preserve"> СЭВ 543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В кремнии, предназначенном для производства алюминиево-кремниевых сплавов, допускается массовая доля алюминия до 2,0% с соответствующим снижением массовой доли кремния. В этом случае к обозначению марки кремния добавляется буква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Например: Кр1А.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 кремнии, предназначенном для химической промышленности, массовая доля титана не должна превышать 0,2% с соответствующим снижением массовой доли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По согласованию изготовителя с потребителем для производства полупроводникового кремния, а также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спеццелей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кремний марки Кр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массовой долей алюминия не более 0,3%, марки Кр1 - с массовой долей алюминия не более 0,6%.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Кремний изготовляют в виде кусков размерами от 20 до 300 мм с допускаемым содержанием фракции менее 20 мм не более 10% массы партии.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согласованию изготовителя с потребителем изготовляют кремний следующего фракционного состава: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20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5 до 300 мм (содержание фракции менее 5 мм - не более 5% массы партии);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20 до 150 мм (содержание фракции менее 20 мм - не более 20% массы партии);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 до 70 мм (содержание фракции менее 2 мм - не более 5% массы партии).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1.4. Поверхность кусков кремния не должна содержать включений шлака, песка и других инородных материалов, видимых невооруженным глазом. Потемнение поверхности кремния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саморазламывании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горячих слитков, а также наличие цветов побежалости браковочными признаками не являются.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 поверхности кусков кремния, предназначенного для производства алюминиево-кремниевых сплавов различных марок, допускаются следы противопригарной засыпки,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ликвационные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наплывы, брызги кремния, пленки побежалости и отдельные незначительные шлаковые включения.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1.2 -1.4.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Кремний принимают партиями. Партия должна состоять из кремния одной или нескольких плавок одной марки. Партию оформляют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кремния;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массу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определения массовой доли компонентов;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формирования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должна быть не более 75 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Для определения массовых долей компонентов в кремнии и его фракционного состава отбирают точечные пробы, из которых формируют объединенную пробу в количестве не менее 0,1% партии. В каждой партии определяют массовую долю железа, алюминия и кальция. Массовую долю титана в кремнии, предназначенном для химической промышленности, определяют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Контроль качества поверхности проводят визуально не менее чем на четырех кусках, произвольно отобранных от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ИСПЫТАНИЙ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От партии неупакованного кремния точечные пробы отбирают через равные промежутки времени в процессе погрузки, разгрузки или других перемещений кремния.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От партии упакованного кремния точечные пробы отбирают от каждого второго грузового места. Количество точек отбора проб должно быть не менее пяти.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Объединенную пробу делят на две равные части: одну - для определения массовых долей компонентов в кремнии, другую - для определения его фракционного состава.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Часть объединенной пробы, предназначенной для определения массовых долей компонентов в кремнии, дробят до крупности зерен, проходящих через сито с сеткой N 2, 5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лабораторной пробы массой не менее 150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Лабораторную пробу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отмагничивают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делят на две равные части. Одна часть используется для определения массовых долей компонентов в кремнии, другая - хранится в течение 30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момента отбора пробы на случай разногласий в оценке качества.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Дальнейшую подготовку лабораторной пробы проводят по </w:t>
      </w:r>
      <w:proofErr w:type="gramStart"/>
      <w:r w:rsidRPr="00591B20"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 w:rsidRPr="00591B20">
        <w:rPr>
          <w:rFonts w:ascii="Arial" w:hAnsi="Arial" w:cs="Arial"/>
          <w:color w:val="2D2D2D"/>
          <w:spacing w:val="1"/>
          <w:sz w:val="15"/>
          <w:szCs w:val="15"/>
        </w:rPr>
        <w:t>OCT 19014.0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Отбор проб допускается проводить другими методами, обеспечивающими представительность выборки. При возникновении разногласий в оценке качества кремния отбор проб проводят в соответствии с пп.3.1 и 3.2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Массовую долю компонентов в кремнии определяют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19014.0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19014.4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проводить анализ другими методами, обеспечивающими требуемую точность определений. При разногласиях в оценке результатов анализа его проводят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19014.0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19014.4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Качество поверхности кремния оценивают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3.8. Максимальный размер кусков проверяют металлической линейкой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мелких фракций определяют просеиванием на сетках N 2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N 5 и 20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5336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Технический кремний транспортируют в неупакованном виде или, по согласованию изготовителя с потребителем, упакованным в плотные деревянные ящики типа II-III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металлические барабаны по нормативно-технической документации или бочки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6247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T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У 10.10.739-88.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Кремний, предназначенный для длительного хранения, упаковывают в деревянные ящики типа III-2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2991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постоянной массой нетто 500 кг или металлические барабаны типов I и II с гофрами жесткости на обечайке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Транспортная маркировка кремния, отгружаемого в упаковке, -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Маркировку, характеризующую продукцию, наносят на ярлык, содержащий: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марку кремния;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компонентов в кремнии;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упаковочного места;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формирования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ярлык по диагонали наносят полосы следующего цвета: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желтый - для кремния марки Кр00;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красный - для кремния марки Кр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зеленый - для кремния марки Кр1;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синий - для кремния марки Кр2;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черный - для кремния марки Кр3.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Ярлык вкладывают в защитное приспособление, изготовленное по нормативно-технической документации и обеспечивающее сохранность надписей при транспортировании и хранении, и прикрепляют к крышке барабана или торцовой стенке ящика. На специализированном контейнере ярлык вкладывают в карман, в открытом железнодорожном вагоне при транспортировании кремния навалом ярлык прикрепляют внутри вагона, около лестницы с каждой стороны вагона.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4.3, 4.4.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4.5. Для кремния, предназначенного для длительного хранения, по требованию потребителя маркировку, указанную в п.4.3 (кроме химического состава), наносят на тару по трафарету несмываемой краской с указанием массы брутто каждого упаковочного места.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 При транспортировании кремния автотранспортом документ о качестве прикладывают к товарно-транспортной накладной.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4.7. Кремний транспортируют железнодорожным и автомобильным транспортом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Транспортирование кремния навалом осуществляют в специализированных контейнерах грузоотправителя или грузополучателя, исключающих попадание влаги, открытыми транспортными средствами. По согласованию изготовителя с потребителем и транспортными организациями кремний перевозят навалом в открытых вагонах с заделкой конструктивных зазоров в целях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избежания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просыпания груза и в соответствии с действующими требованиями.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Кремний, упакованный в соответствии с требованиями п.4.1, транспортируют крытыми транспортными средствами.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массовой отгрузке кремния в однотипной таре упакованные грузовые места формируются в транспортные пакеты по </w:t>
      </w:r>
      <w:r w:rsidRPr="00591B20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одновременная перевозка в одном транспортном средстве нескольких партий кремния различных марок с обязательным разделением одной партии от другой.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4.8. Упакованный кристаллический кремний хранят в крытых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Кристаллический кремний, транспортируемый навалом, в том числе в специализированных контейнерах, хранят под навесом или в крытых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хранение у потребителя кремния, упакованного в металлическую тару, исключающую попадание влаги, на открытых площадках с твердым грунтом и уклоном, обеспечивающим сток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91B20" w:rsidRDefault="00591B20" w:rsidP="00591B2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4.7, 4.8 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43CB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C1D44"/>
    <w:multiLevelType w:val="multilevel"/>
    <w:tmpl w:val="D5B4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F7342"/>
    <w:multiLevelType w:val="multilevel"/>
    <w:tmpl w:val="ECC2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607E4"/>
    <w:multiLevelType w:val="multilevel"/>
    <w:tmpl w:val="E81C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56852"/>
    <w:multiLevelType w:val="multilevel"/>
    <w:tmpl w:val="AD4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1334E"/>
    <w:multiLevelType w:val="multilevel"/>
    <w:tmpl w:val="0F2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A33EA"/>
    <w:multiLevelType w:val="multilevel"/>
    <w:tmpl w:val="B62C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C0FE1"/>
    <w:multiLevelType w:val="multilevel"/>
    <w:tmpl w:val="D7D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362B7"/>
    <w:multiLevelType w:val="multilevel"/>
    <w:tmpl w:val="B31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6"/>
  </w:num>
  <w:num w:numId="5">
    <w:abstractNumId w:val="18"/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1"/>
  </w:num>
  <w:num w:numId="11">
    <w:abstractNumId w:val="12"/>
  </w:num>
  <w:num w:numId="12">
    <w:abstractNumId w:val="14"/>
  </w:num>
  <w:num w:numId="13">
    <w:abstractNumId w:val="21"/>
  </w:num>
  <w:num w:numId="14">
    <w:abstractNumId w:val="13"/>
  </w:num>
  <w:num w:numId="15">
    <w:abstractNumId w:val="5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20"/>
  </w:num>
  <w:num w:numId="21">
    <w:abstractNumId w:val="4"/>
  </w:num>
  <w:num w:numId="22">
    <w:abstractNumId w:val="9"/>
  </w:num>
  <w:num w:numId="23">
    <w:abstractNumId w:val="17"/>
  </w:num>
  <w:num w:numId="24">
    <w:abstractNumId w:val="19"/>
  </w:num>
  <w:num w:numId="25">
    <w:abstractNumId w:val="10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1B20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3CB5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593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2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4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45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465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813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420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96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042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852501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4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793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27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28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2017-08-10T10:56:00Z</dcterms:created>
  <dcterms:modified xsi:type="dcterms:W3CDTF">2017-08-10T10:56:00Z</dcterms:modified>
</cp:coreProperties>
</file>