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B1" w:rsidRDefault="00F00EB1" w:rsidP="00F00EB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21458-75 Сульфат натрия кристаллизационный. Технические условия (с Изменениями N 1, 2, 3)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21458-75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ГОСУДАРСТВЕННЫЙ СТАНДАРТ СОЮЗА ССР</w:t>
      </w:r>
    </w:p>
    <w:p w:rsidR="00F00EB1" w:rsidRDefault="00F00EB1" w:rsidP="00F00EB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СУЛЬФАТ НАТРИЯ КРИСТАЛЛИЗАЦИОННЫЙ</w:t>
      </w:r>
    </w:p>
    <w:p w:rsidR="00F00EB1" w:rsidRDefault="00F00EB1" w:rsidP="00F00EB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F00EB1" w:rsidRDefault="00F00EB1" w:rsidP="00F00EB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Crystallization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sodium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sulphate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>.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21 4111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Срок действия с 01.07.76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 01.07.94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части 2-го сорта - до 01.07.91*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протоколу N 3-93 Межгосударственного Совета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стандартизации, метрологии и сертификации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(ИУС N 5-6, 1993 год). - Примечание "КОДЕКС".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А.Т.Серков (д-р хим. наук), М.Е.Шор, Т.Г.Бычкова,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Н.Л.Зубахина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Н.Е.Худоногова, В.С.Матвеев (канд. хим. наук), А.А.Бондарев (канд.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техн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наук), Т.П.Хомякова, Л.А.Филиппова, Н.В.Сорокина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31 декабря 1975 г. N 4141.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ПЕРИОДИЧНОСТЬ ПРОВЕРКИ - 5 лет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Стандарт соответствует международному стандарту ИСО 3237-75 в части, касающейся расчетного метода определения содержания сульфатов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ВЗАМЕН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5.1135-71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435"/>
      </w:tblGrid>
      <w:tr w:rsidR="00F00EB1" w:rsidTr="00F00EB1">
        <w:trPr>
          <w:trHeight w:val="15"/>
        </w:trPr>
        <w:tc>
          <w:tcPr>
            <w:tcW w:w="5174" w:type="dxa"/>
            <w:hideMark/>
          </w:tcPr>
          <w:p w:rsidR="00F00EB1" w:rsidRDefault="00F00EB1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F00EB1" w:rsidRDefault="00F00EB1">
            <w:pPr>
              <w:rPr>
                <w:sz w:val="2"/>
                <w:szCs w:val="24"/>
              </w:rPr>
            </w:pPr>
          </w:p>
        </w:tc>
      </w:tr>
      <w:tr w:rsidR="00F00EB1" w:rsidTr="00F00EB1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F00EB1" w:rsidTr="00F00EB1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00EB1">
              <w:rPr>
                <w:color w:val="2D2D2D"/>
                <w:sz w:val="15"/>
                <w:szCs w:val="15"/>
              </w:rPr>
              <w:t>ГОСТ 2226-88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F00EB1" w:rsidTr="00F00EB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00EB1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F00EB1" w:rsidTr="00F00EB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00EB1">
              <w:rPr>
                <w:color w:val="2D2D2D"/>
                <w:sz w:val="15"/>
                <w:szCs w:val="15"/>
              </w:rPr>
              <w:t>ГОСТ 3760-79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3.9.1, 3.10.1, 3.11.1</w:t>
            </w:r>
          </w:p>
        </w:tc>
      </w:tr>
      <w:tr w:rsidR="00F00EB1" w:rsidTr="00F00EB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00EB1">
              <w:rPr>
                <w:color w:val="2D2D2D"/>
                <w:sz w:val="15"/>
                <w:szCs w:val="15"/>
              </w:rPr>
              <w:t>ГОСТ 3773-72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3.9.1, 3.11.1</w:t>
            </w:r>
          </w:p>
        </w:tc>
      </w:tr>
      <w:tr w:rsidR="00F00EB1" w:rsidTr="00F00EB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00EB1">
              <w:rPr>
                <w:color w:val="2D2D2D"/>
                <w:sz w:val="15"/>
                <w:szCs w:val="15"/>
              </w:rPr>
              <w:t>ГОСТ 4108-72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3.7.1.1</w:t>
            </w:r>
          </w:p>
        </w:tc>
      </w:tr>
      <w:tr w:rsidR="00F00EB1" w:rsidTr="00F00EB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00EB1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3.7.1.1</w:t>
            </w:r>
          </w:p>
        </w:tc>
      </w:tr>
      <w:tr w:rsidR="00F00EB1" w:rsidTr="00F00EB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00EB1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3.10.1</w:t>
            </w:r>
          </w:p>
        </w:tc>
      </w:tr>
      <w:tr w:rsidR="00F00EB1" w:rsidTr="00F00EB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00EB1">
              <w:rPr>
                <w:color w:val="2D2D2D"/>
                <w:sz w:val="15"/>
                <w:szCs w:val="15"/>
              </w:rPr>
              <w:t>ГОСТ 4233-77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</w:t>
            </w:r>
          </w:p>
        </w:tc>
      </w:tr>
      <w:tr w:rsidR="00F00EB1" w:rsidTr="00F00EB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00EB1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3.8.1</w:t>
            </w:r>
          </w:p>
        </w:tc>
      </w:tr>
      <w:tr w:rsidR="00F00EB1" w:rsidTr="00F00EB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00EB1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3.10.1, 3.12.1</w:t>
            </w:r>
          </w:p>
        </w:tc>
      </w:tr>
      <w:tr w:rsidR="00F00EB1" w:rsidTr="00F00EB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00EB1">
              <w:rPr>
                <w:color w:val="2D2D2D"/>
                <w:sz w:val="15"/>
                <w:szCs w:val="15"/>
              </w:rPr>
              <w:t>ГОСТ 4463-76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3.11.1</w:t>
            </w:r>
          </w:p>
        </w:tc>
      </w:tr>
      <w:tr w:rsidR="00F00EB1" w:rsidTr="00F00EB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00EB1">
              <w:rPr>
                <w:color w:val="2D2D2D"/>
                <w:sz w:val="15"/>
                <w:szCs w:val="15"/>
              </w:rPr>
              <w:t>ГОСТ 4478-78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3.10.1</w:t>
            </w:r>
          </w:p>
        </w:tc>
      </w:tr>
      <w:tr w:rsidR="00F00EB1" w:rsidTr="00F00EB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00EB1">
              <w:rPr>
                <w:color w:val="2D2D2D"/>
                <w:sz w:val="15"/>
                <w:szCs w:val="15"/>
              </w:rPr>
              <w:t>ГОСТ 4520-78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3.12.1</w:t>
            </w:r>
          </w:p>
        </w:tc>
      </w:tr>
      <w:tr w:rsidR="00F00EB1" w:rsidTr="00F00EB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00EB1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3.12.1</w:t>
            </w:r>
          </w:p>
        </w:tc>
      </w:tr>
      <w:tr w:rsidR="00F00EB1" w:rsidTr="00F00EB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00EB1">
              <w:rPr>
                <w:color w:val="2D2D2D"/>
                <w:sz w:val="15"/>
                <w:szCs w:val="15"/>
              </w:rPr>
              <w:t>ГОСТ 5817-77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3.9.1, 3.1</w:t>
            </w:r>
          </w:p>
        </w:tc>
      </w:tr>
      <w:tr w:rsidR="00F00EB1" w:rsidTr="00F00EB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00EB1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3.5.1, 3.7.2.1, 3.8.1, 3.10.1</w:t>
            </w:r>
          </w:p>
        </w:tc>
      </w:tr>
      <w:tr w:rsidR="00F00EB1" w:rsidTr="00F00EB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00EB1">
              <w:rPr>
                <w:color w:val="2D2D2D"/>
                <w:sz w:val="15"/>
                <w:szCs w:val="15"/>
              </w:rPr>
              <w:t>ГОСТ 10652-73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3.9.1, 3.11.1</w:t>
            </w:r>
          </w:p>
        </w:tc>
      </w:tr>
      <w:tr w:rsidR="00F00EB1" w:rsidTr="00F00EB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00EB1">
              <w:rPr>
                <w:color w:val="2D2D2D"/>
                <w:sz w:val="15"/>
                <w:szCs w:val="15"/>
              </w:rPr>
              <w:lastRenderedPageBreak/>
              <w:t>ГОСТ 14192-77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F00EB1" w:rsidTr="00F00EB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00EB1">
              <w:rPr>
                <w:color w:val="2D2D2D"/>
                <w:sz w:val="15"/>
                <w:szCs w:val="15"/>
              </w:rPr>
              <w:t>ГОСТ 17811-78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F00EB1" w:rsidTr="00F00EB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00EB1">
              <w:rPr>
                <w:color w:val="2D2D2D"/>
                <w:sz w:val="15"/>
                <w:szCs w:val="15"/>
              </w:rPr>
              <w:t>ГОСТ 26663-85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F00EB1" w:rsidTr="00F00EB1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6-09-07-1672-88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3.12.1</w:t>
            </w:r>
          </w:p>
        </w:tc>
      </w:tr>
    </w:tbl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СРОК ДЕЙСТВИЯ ПРОДЛЕН ДО 01.07.94 Постановлением Госстандарта СССР от 29.03.89 N 876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 ПЕРЕИЗДАНИЕ (март 1991 г.) с Изменениями N 1, 2, 3, утвержденными в мае 1979 г., мае 1983 г., марте 1989 г. (ИУС 6-79, 8-83, 7-89).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кристаллизационный сульфат натрия (сернокислый натрий), получаемый в вискозном производстве при взаимодействии серной кислоты с едким натром или натриевыми солями.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Сульфат натрия применяется в качестве сырья в целлюлозно-бумажной, стекольной и химической промышленностях.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Формула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45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46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- 142,02.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1.2а. Сульфат натрия должен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сульфат натрия должен соответствовать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5"/>
        <w:gridCol w:w="2076"/>
        <w:gridCol w:w="2224"/>
        <w:gridCol w:w="2224"/>
      </w:tblGrid>
      <w:tr w:rsidR="00F00EB1" w:rsidTr="00F00EB1">
        <w:trPr>
          <w:trHeight w:val="15"/>
        </w:trPr>
        <w:tc>
          <w:tcPr>
            <w:tcW w:w="4250" w:type="dxa"/>
            <w:hideMark/>
          </w:tcPr>
          <w:p w:rsidR="00F00EB1" w:rsidRDefault="00F00EB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00EB1" w:rsidRDefault="00F00EB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00EB1" w:rsidRDefault="00F00EB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00EB1" w:rsidRDefault="00F00EB1">
            <w:pPr>
              <w:rPr>
                <w:sz w:val="2"/>
                <w:szCs w:val="24"/>
              </w:rPr>
            </w:pPr>
          </w:p>
        </w:tc>
      </w:tr>
      <w:tr w:rsidR="00F00EB1" w:rsidTr="00F00EB1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0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F00EB1" w:rsidTr="00F00EB1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Высший сорт</w:t>
            </w:r>
            <w:r>
              <w:rPr>
                <w:color w:val="2D2D2D"/>
                <w:sz w:val="15"/>
                <w:szCs w:val="15"/>
              </w:rPr>
              <w:br/>
              <w:t>ОКП 21 4111 0620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1-й сорт</w:t>
            </w:r>
            <w:r>
              <w:rPr>
                <w:color w:val="2D2D2D"/>
                <w:sz w:val="15"/>
                <w:szCs w:val="15"/>
              </w:rPr>
              <w:br/>
              <w:t>ОКП 21 4111 0630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2-й сорт</w:t>
            </w:r>
            <w:r>
              <w:rPr>
                <w:color w:val="2D2D2D"/>
                <w:sz w:val="15"/>
                <w:szCs w:val="15"/>
              </w:rPr>
              <w:br/>
              <w:t>ОКП 21 4111 0640</w:t>
            </w:r>
          </w:p>
        </w:tc>
      </w:tr>
      <w:tr w:rsidR="00F00EB1" w:rsidTr="00F00EB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702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Белый кристаллический порошок</w:t>
            </w:r>
          </w:p>
        </w:tc>
      </w:tr>
      <w:tr w:rsidR="00F00EB1" w:rsidTr="00F00EB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сульфата натрия, %, не менее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97,4</w:t>
            </w:r>
          </w:p>
        </w:tc>
      </w:tr>
      <w:tr w:rsidR="00F00EB1" w:rsidTr="00F00EB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3. Общая щелочность в пересчете на </w:t>
            </w:r>
            <w:proofErr w:type="spellStart"/>
            <w:r>
              <w:rPr>
                <w:color w:val="2D2D2D"/>
                <w:sz w:val="15"/>
                <w:szCs w:val="15"/>
              </w:rPr>
              <w:t>Na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2147" type="#_x0000_t75" alt="ГОСТ 21458-75 Сульфат натрия кристаллизационный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CO</w:t>
            </w:r>
            <w:r>
              <w:rPr>
                <w:color w:val="2D2D2D"/>
                <w:sz w:val="15"/>
                <w:szCs w:val="15"/>
              </w:rPr>
              <w:pict>
                <v:shape id="_x0000_i2148" type="#_x0000_t75" alt="ГОСТ 21458-75 Сульфат натрия кристаллизационный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</w:tr>
      <w:tr w:rsidR="00F00EB1" w:rsidTr="00F00EB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Потери массы при прокаливании,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</w:tr>
      <w:tr w:rsidR="00F00EB1" w:rsidTr="00F00EB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нерастворимого в воде остатка,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F00EB1" w:rsidTr="00F00EB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Содержание серной кислоты</w:t>
            </w:r>
          </w:p>
        </w:tc>
        <w:tc>
          <w:tcPr>
            <w:tcW w:w="702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Должен выдерживать испытания по п.3.8</w:t>
            </w:r>
          </w:p>
        </w:tc>
      </w:tr>
      <w:tr w:rsidR="00F00EB1" w:rsidTr="00F00EB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7. Массовая доля кальция и магния в пересчете на </w:t>
            </w:r>
            <w:proofErr w:type="spellStart"/>
            <w:r>
              <w:rPr>
                <w:color w:val="2D2D2D"/>
                <w:sz w:val="15"/>
                <w:szCs w:val="15"/>
              </w:rPr>
              <w:t>C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gramEnd"/>
            <w:r>
              <w:rPr>
                <w:color w:val="2D2D2D"/>
                <w:sz w:val="15"/>
                <w:szCs w:val="15"/>
              </w:rPr>
              <w:t>SO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2149" type="#_x0000_t75" alt="ГОСТ 21458-75 Сульфат натрия кристаллизационный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F00EB1" w:rsidTr="00F00EB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железа (</w:t>
            </w: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2150" type="#_x0000_t75" alt="ГОСТ 21458-75 Сульфат натрия кристаллизационный. Технические условия (с Изменениями N 1, 2, 3)" style="width:12.9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</w:tr>
      <w:tr w:rsidR="00F00EB1" w:rsidTr="00F00EB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цинка (</w:t>
            </w:r>
            <w:proofErr w:type="spellStart"/>
            <w:r>
              <w:rPr>
                <w:color w:val="2D2D2D"/>
                <w:sz w:val="15"/>
                <w:szCs w:val="15"/>
              </w:rPr>
              <w:t>Zn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2151" type="#_x0000_t75" alt="ГОСТ 21458-75 Сульфат натрия кристаллизационный. Технические условия (с Изменениями N 1, 2, 3)" style="width:14.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</w:tr>
      <w:tr w:rsidR="00F00EB1" w:rsidTr="00F00EB1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Массовая доля хлоридов (</w:t>
            </w:r>
            <w:proofErr w:type="spellStart"/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l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2152" type="#_x0000_t75" alt="ГОСТ 21458-75 Сульфат натрия кристаллизационный. Технические условия (с Изменениями N 1, 2, 3)" style="width:12.9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</w:tr>
      <w:tr w:rsidR="00F00EB1" w:rsidTr="00F00EB1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Массовая доля воды,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00EB1" w:rsidRDefault="00F00EB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</w:tbl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Для производства синтетических моющих средств массовая доля нерастворимого в воде остатка в высшем сорте не должна превышать 0,10%.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Показатели по пп.5, 7-10 таблицы даны в пересчете на прокаленный продукт.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 Сульфат натрия, не предназначенный для производства синтетических моющих средств, может иметь светлые цветовые оттенки.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Сульфат натрия принимают партией. За партию принимают продукт, однородный по показателям качества, массой не более 200 т, сопровождаемый одним документом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о качестве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и сорт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массу нетто,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мест в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проведенных анализов или подтверждение соответствия качества продукта требованиям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штамп технического контроля;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проверки качества сульфата натрия на соответствие его показателей требованиям настоящего стандарта отбирают 5% мешков, но не менее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чем три мешка от партии, состоящей не более чем из 60 мешков; при отгрузке продукта в вагонах,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содовозах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контейнерах пробу отбирают не менее чем из трех точек каждого вагона,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содовоза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контейнера.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2.3. При получении неудовлетворительных результатов анализа хотя бы по одному из показателей проводят повторный анализ от удвоенной выборки той же партии или удвоенного количества проб, взятых от вагона,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содовоза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Показатели содержания железа, хлоридов, кальция и магния, содержание воды, кислоты изготовитель определяет периодически, не менее одного раза в квартал.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Точечные пробы от упакованного продукта отбирают щупом, погружая его три раза на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53" type="#_x0000_t75" alt="ГОСТ 21458-75 Сульфат натрия кристаллизационный. Технические условия (с Изменениями N 1, 2, 3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глубины мешка или контейнера. Масса отобранной точечной пробы не должна быть менее 0,2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отгрузке в вагонах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содовозах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массу пробы отбирают щупом, погруженным на глубину не менее чем 1,5 м. Масса отобранной точечной пробы не должна быть менее 1,5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точечные пробы отбирать из накопительной емкости изготовителя.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Из загрузочного или разгрузочного устройства накопительной емкости с помощью механического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пробоотборного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устройства или совком отбирают не менее трех проб.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отобранной точечной пробы должна быть не менее 1,5 кг.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 Отобранные точечные пробы соединяют, тщательно перемешивают и сокращают методом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получения средней пробы массой не менее 0,5 кг. Среднюю пробу сульфата натрия помещают в чистую сухую, стеклянную, плотно закрываемую банку, на которую наклеивают этикетку с обозначениями: наименования продукта, номера партии и даты отбора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Внешний вид продукта определяют визуально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сульфата натрия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3.4.1. Определение массовой доли сульфата натрия проводится косвенным методом, основанным на вычитании из 100% суммарного количества примесей, выраженных в процентах по массе.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сульфата натрия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54" type="#_x0000_t75" alt="ГОСТ 21458-75 Сульфат натрия кристаллизационный. Технические условия (с Изменениями N 1, 2, 3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380865" cy="225425"/>
            <wp:effectExtent l="19050" t="0" r="635" b="0"/>
            <wp:docPr id="1131" name="Рисунок 1131" descr="ГОСТ 21458-75 Сульфат натрия кристаллизационн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 descr="ГОСТ 21458-75 Сульфат натрия кристаллизационн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56" type="#_x0000_t75" alt="ГОСТ 21458-75 Сульфат натрия кристаллизационный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массовая доля щелочей в пересчете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57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CO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58" type="#_x0000_t75" alt="ГОСТ 21458-75 Сульфат натрия кристаллизационны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определенная по п.3.5, %; или массовая доля серной кислоты, %, определенная по п.3.8 и вычисленная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23975" cy="389255"/>
            <wp:effectExtent l="19050" t="0" r="9525" b="0"/>
            <wp:docPr id="1135" name="Рисунок 1135" descr="ГОСТ 21458-75 Сульфат натрия кристаллизационн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 descr="ГОСТ 21458-75 Сульфат натрия кристаллизационн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60" type="#_x0000_t75" alt="ГОСТ 21458-75 Сульфат натрия кристаллизационный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61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н.), израсходованный на титрование анализируемой пробы,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62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63" type="#_x0000_t75" alt="ГОСТ 21458-75 Сульфат натрия кристаллизационны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сульфата натрия,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7200" cy="198120"/>
            <wp:effectExtent l="19050" t="0" r="0" b="0"/>
            <wp:docPr id="1140" name="Рисунок 1140" descr="ГОСТ 21458-75 Сульфат натрия кристаллизационн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 descr="ГОСТ 21458-75 Сульфат натрия кристаллизационн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серной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65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66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67" type="#_x0000_t75" alt="ГОСТ 21458-75 Сульфат натрия кристаллизационный. Технические условия (с Изменениями N 1, 2, 3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нерастворимого остатка, определенная по п.3.7,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68" type="#_x0000_t75" alt="ГОСТ 21458-75 Сульфат натрия кристаллизационный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массовая доля сульфата кальция и магния в пересчете на сульфат кальция, определенная по п.3.9,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69" type="#_x0000_t75" alt="ГОСТ 21458-75 Сульфат натрия кристаллизационный. Технические условия (с Изменениями N 1, 2, 3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железа, определенная по п.3.10,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198120"/>
            <wp:effectExtent l="19050" t="0" r="6985" b="0"/>
            <wp:docPr id="1146" name="Рисунок 1146" descr="ГОСТ 21458-75 Сульфат натрия кристаллизационн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 descr="ГОСТ 21458-75 Сульфат натрия кристаллизационн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коэффициент пересчета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71" type="#_x0000_t75" alt="ГОСТ 21458-75 Сульфат натрия кристаллизационный. Технические условия (с Изменениями N 1, 2, 3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72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73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74" type="#_x0000_t75" alt="ГОСТ 21458-75 Сульфат натрия кристаллизационны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75" type="#_x0000_t75" alt="ГОСТ 21458-75 Сульфат натрия кристаллизационный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цинка, определенная по п.3.11,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64185" cy="198120"/>
            <wp:effectExtent l="19050" t="0" r="0" b="0"/>
            <wp:docPr id="1152" name="Рисунок 1152" descr="ГОСТ 21458-75 Сульфат натрия кристаллизационн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 descr="ГОСТ 21458-75 Сульфат натрия кристаллизационн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коэффициент пересчета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Zn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77" type="#_x0000_t75" alt="ГОСТ 21458-75 Сульфат натрия кристаллизационный. Технические условия (с Изменениями N 1, 2, 3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ZnSO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78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79" type="#_x0000_t75" alt="ГОСТ 21458-75 Сульфат натрия кристаллизационный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хлоридов, определенная по п.3.12,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9895" cy="198120"/>
            <wp:effectExtent l="19050" t="0" r="8255" b="0"/>
            <wp:docPr id="1156" name="Рисунок 1156" descr="ГОСТ 21458-75 Сульфат натрия кристаллизационн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 descr="ГОСТ 21458-75 Сульфат натрия кристаллизационн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коэффициент пересчета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NaCl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81" type="#_x0000_t75" alt="ГОСТ 21458-75 Сульфат натрия кристаллизационный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потери массы при прокаливании, определенные по п.3.6,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За результат анализа принимают среднее арифметическое двух параллельных определений, допускаемые расхождения между которыми не должны превышать 0,14%.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3 4.3, 3.4.4, 3.4.5.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Исклю</w:t>
      </w:r>
      <w:proofErr w:type="spellEnd"/>
      <w:proofErr w:type="gramEnd"/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чены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 Определение общей щелочности в пересчете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a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82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CO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83" type="#_x0000_t75" alt="ГОСТ 21458-75 Сульфат натрия кристаллизационны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 Применяемые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84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индикатор смешанный, готовят следующим образом: спиртовой раствор метилового красного с массовой долей 0,2% и спиртовой раствор метиленового голубого с массовой долей 0,1% смешивают в соотношении 1:1.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смешанного индикатора годен в течение двух суток;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10 г анализируемого сульфата натрия взвешивают (результат взвешивания в граммах записывают до четвертого десятичного знака), помещают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85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86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при 50-60 °C в течение 30 мин, прибавляют 2-3 капли смешанного индикатора и титруют раствором соляной кислоты концентрации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87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 до появления фиолетовой окраски.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Общую щелочность в пересчете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88" type="#_x0000_t75" alt="ГОСТ 21458-75 Сульфат натрия кристаллизационный. Технические условия (с Изменениями N 1, 2, 3)" style="width:8.05pt;height:17.2pt"/>
        </w:pic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89" type="#_x0000_t75" alt="ГОСТ 21458-75 Сульфат натрия кристаллизационны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90" type="#_x0000_t75" alt="ГОСТ 21458-75 Сульфат натрия кристаллизационный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03655" cy="389255"/>
            <wp:effectExtent l="19050" t="0" r="0" b="0"/>
            <wp:docPr id="1167" name="Рисунок 1167" descr="ГОСТ 21458-75 Сульфат натрия кристаллизационн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 descr="ГОСТ 21458-75 Сульфат натрия кристаллизационн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92" type="#_x0000_t75" alt="ГОСТ 21458-75 Сульфат натрия кристаллизационный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соляной кислоты концентрации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93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н.), израсходованный на титрование анализируемой пробы,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94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95" type="#_x0000_t75" alt="ГОСТ 21458-75 Сульфат натрия кристаллизационны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сульфата натрия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7200" cy="198120"/>
            <wp:effectExtent l="19050" t="0" r="0" b="0"/>
            <wp:docPr id="1172" name="Рисунок 1172" descr="ГОСТ 21458-75 Сульфат натрия кристаллизационн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 descr="ГОСТ 21458-75 Сульфат натрия кристаллизационн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количество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97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CO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98" type="#_x0000_t75" alt="ГОСТ 21458-75 Сульфат натрия кристаллизационны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соответствующее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199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00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двух параллельных определений, допускаемые расхождения между которыми не должны превышать 6% относительно среднего результата определения вычисляемой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концентрац</w:t>
      </w:r>
      <w:proofErr w:type="spellEnd"/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3.5.1-3.5.3.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Определение потери массы при прокаливании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3.6.1.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50 г анализируемого сульфата натрия взвешивают (результат взвешивания в граммах записывают до четвертого десятичного знака), помещают в фарфоровую чашку или тигель, доведенную до постоянной массы, и прокаливают в муфельной печи при 750-800 °С до постоянной массы. Первое взвешивание производят после 2 ч прокаливания.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Потери массы при прокаливании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01" type="#_x0000_t75" alt="ГОСТ 21458-75 Сульфат натрия кристаллизационный. Технические условия (с Изменениями N 1, 2, 3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69365" cy="409575"/>
            <wp:effectExtent l="19050" t="0" r="6985" b="0"/>
            <wp:docPr id="1178" name="Рисунок 1178" descr="ГОСТ 21458-75 Сульфат натрия кристаллизационн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 descr="ГОСТ 21458-75 Сульфат натрия кристаллизационн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03" type="#_x0000_t75" alt="ГОСТ 21458-75 Сульфат натрия кристаллизационны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сульфата натрия,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04" type="#_x0000_t75" alt="ГОСТ 21458-75 Сульфат натрия кристаллизационный. Технические условия (с Изменениями N 1, 2, 3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прокаленного остатка,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не должны превышать 6% относительно среднего результата определения вычисляемой концентрации.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Определение массовой доли нерастворимого остатка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3.7.1.1. Применяемые растворы и реактивы: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20%-ный раствор;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4108-72</w:t>
      </w:r>
      <w:r>
        <w:rPr>
          <w:rFonts w:ascii="Arial" w:hAnsi="Arial" w:cs="Arial"/>
          <w:color w:val="2D2D2D"/>
          <w:spacing w:val="1"/>
          <w:sz w:val="15"/>
          <w:szCs w:val="15"/>
        </w:rPr>
        <w:t>, 10%-ный раствор;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 бумажный "белая лента".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3.7.1.2.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40 г прокаленного сульфата натрия взвешивают с погрешностью не более 0,0002 г, помещают в стакан вместимостью 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05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в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06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горячей воды, раствор подкисляют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07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фильтруют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08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через фильтр, предварительно высушенный до постоянной массы при 100-105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взвешенный после охлаждения в эксикаторе.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на фильтре промывают несколько раз горячей водой до отрицательной реакции на сульфат-ион (проба раствором хлористого бария).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охлаждении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фильтрата колбу доливают водой до метки и тщательно перемешивают (раствор 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 с промытым нерастворимым остатком помещают во взвешенную бюксу и высушивают в сушильном шкафу при 100-105 °C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3.7.1.3.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нерастворимого в кислоте остатка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09" type="#_x0000_t75" alt="ГОСТ 21458-75 Сульфат натрия кристаллизационный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44295" cy="429895"/>
            <wp:effectExtent l="19050" t="0" r="8255" b="0"/>
            <wp:docPr id="1186" name="Рисунок 1186" descr="ГОСТ 21458-75 Сульфат натрия кристаллизационн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 descr="ГОСТ 21458-75 Сульфат натрия кристаллизационн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11" type="#_x0000_t75" alt="ГОСТ 21458-75 Сульфат натрия кристаллизационны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сульфата натрия,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12" type="#_x0000_t75" alt="ГОСТ 21458-75 Сульфат натрия кристаллизационный. Технические условия (с Изменениями N 1, 2, 3)" style="width:17.2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бюксы с сухим фильтром,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13" type="#_x0000_t75" alt="ГОСТ 21458-75 Сульфат натрия кристаллизационный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бюксы с фильтром и высушенным нерастворимым остатком,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двух параллельных определений, допускаемые расхождения между которыми не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должны превышать 20% относительно среднего результата определения вычисляемой концентрации.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3.7.2. Определение в воде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3.7.2.1. Применяемые растворы и реактивы: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 бумажный "белая лента";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4108-72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3.7.2.2.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40 г прокаленного сульфата натрия взвешивают (результат взвешивания в граммах записывают до четвертого десятичного знака), помещают в стакан вместимостью 300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14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в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15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горячей воды. Раствор фильтруют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16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через фильтр, предварительно высушенный до постоянной массы при 100-105 °C и взвешенный после охлаждения в эксикаторе.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Остаток на фильтре промывают несколько раз горячей водой до отрицательной реакции на сульфат-ион (проба раствором хлористого бария).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Фильтрат собирают в мерную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17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доливают водой до метки и тщательно перемешивают (раствор 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 с промытым осадком помещают в предварительно взвешенную бюксу и сушат в сушильном шкафу при температуре 100-105 °C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3.7.2.3.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нерастворимого в воде остатка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18" type="#_x0000_t75" alt="ГОСТ 21458-75 Сульфат натрия кристаллизационный. Технические условия (с Изменениями N 1, 2, 3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64615" cy="429895"/>
            <wp:effectExtent l="19050" t="0" r="6985" b="0"/>
            <wp:docPr id="1195" name="Рисунок 1195" descr="ГОСТ 21458-75 Сульфат натрия кристаллизационн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 descr="ГОСТ 21458-75 Сульфат натрия кристаллизационн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20" type="#_x0000_t75" alt="ГОСТ 21458-75 Сульфат натрия кристаллизационны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сульфата натрия,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21" type="#_x0000_t75" alt="ГОСТ 21458-75 Сульфат натрия кристаллизационный. Технические условия (с Изменениями N 1, 2, 3)" style="width:17.2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бюксы с сухим фильтром,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22" type="#_x0000_t75" alt="ГОСТ 21458-75 Сульфат натрия кристаллизационный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бюксы с фильтром и высушенным нерастворимым остатком,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не должны превышать 12% относительно среднего результата определения вычисляемой концентрации.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3.7.2.1-3.7.2.3.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Определение массовой доли серной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3.8.1. Применяемые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23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оранжевый (индикатор);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10 г анализируемого сульфата натрия взвешивают (результат взвешивания в граммах записывают до второго десятичного знака), помещают в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24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25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добавляют 1-2 капли метилового оранжевого и титруют раствором едкого натра. Проба выдерживает испытание, если на ее нейтрализацию по метиловому оранжевому пойдет не более 0,8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26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 раствора гидроокиси натрия концентрации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27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3.8-3.8.2.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3.9. Определение массовой доли кальция и магния в пересчете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CaSO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28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3.9.1. Применяемые растворы и реактивы: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винная (виннокаменная кислота)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5817-77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50%;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хлористый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3773-72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3760-79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растворы с массовой долей 10 и 25%;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аммиачный буферный раствор,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10; готовят следующим образом: 54 г хлористого аммония растворяют в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29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добавляют 350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30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аммиака с массовой долей 25% и доводят объем водой до 1 л;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соль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динатриевая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этилендиамин-N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N,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N'N'-тeтpayкcycной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кислоты, 2-водная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Б)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10652-73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31" type="#_x0000_t75" alt="ГОСТ 21458-75 Сульфат натрия кристаллизационны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(1/2C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32" type="#_x0000_t75" alt="ГОСТ 21458-75 Сульфат натрия кристаллизационный. Технические условия (с Изменениями N 1, 2, 3)" style="width:12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33" type="#_x0000_t75" alt="ГОСТ 21458-75 Сульфат натрия кристаллизационный. Технические условия (с Изменениями N 1, 2, 3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N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34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35" type="#_x0000_t75" alt="ГОСТ 21458-75 Сульфат натрия кристаллизационный. Технические условия (с Изменениями N 1, 2, 3)" style="width:8.05pt;height:17.75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36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-2Н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37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38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унитиол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2,5% или натрий сернистый 9-водный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2053-77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натрии хлористый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4233-77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эриохром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черный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готовят следующим образом: 0,5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эриохрома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черного Т и 100 г тонко измельченного хлористого натрия тщательно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39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отбирают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40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А, приготовленного по п.3.7.2.2, прибавляют 2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41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винной кислоты и нейтрализуют 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42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аммиака с массовой долей 10%. Добавляют 2-5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43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аммиачного буферного раствора,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44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унитиола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сернистого натрия и титруют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 в присутствии смеси индикатора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эриохрома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черного Т (около 0,1 г) до перехода окраски от малиново-розовой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синюю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кальция и магния в пересчете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CaSO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45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46" type="#_x0000_t75" alt="ГОСТ 21458-75 Сульфат натрия кристаллизационный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12595" cy="389255"/>
            <wp:effectExtent l="19050" t="0" r="1905" b="0"/>
            <wp:docPr id="1223" name="Рисунок 1223" descr="ГОСТ 21458-75 Сульфат натрия кристаллизационн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ГОСТ 21458-75 Сульфат натрия кристаллизационн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48" type="#_x0000_t75" alt="ГОСТ 21458-75 Сульфат натрия кристаллизационный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49" type="#_x0000_t75" alt="ГОСТ 21458-75 Сульфат натрия кристаллизационны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(1/2C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50" type="#_x0000_t75" alt="ГОСТ 21458-75 Сульфат натрия кристаллизационный. Технические условия (с Изменениями N 1, 2, 3)" style="width:12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51" type="#_x0000_t75" alt="ГОСТ 21458-75 Сульфат натрия кристаллизационный. Технические условия (с Изменениями N 1, 2, 3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N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52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53" type="#_x0000_t75" alt="ГОСТ 21458-75 Сульфат натрия кристаллизационный. Технические условия (с Изменениями N 1, 2, 3)" style="width:8.05pt;height:17.75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54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55" type="#_x0000_t75" alt="ГОСТ 21458-75 Сульфат натрия кристаллизационный. Технические условия (с Изменениями N 1, 2, 3)" style="width:9.15pt;height:9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2Н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56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57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н.), израсходованный на титрование анализируемого раствора,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58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32130" cy="198120"/>
            <wp:effectExtent l="19050" t="0" r="1270" b="0"/>
            <wp:docPr id="1235" name="Рисунок 1235" descr="ГОСТ 21458-75 Сульфат натрия кристаллизационн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 descr="ГОСТ 21458-75 Сульфат натрия кристаллизационн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количество сернокислого кальция, соответствующее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60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61" type="#_x0000_t75" alt="ГОСТ 21458-75 Сульфат натрия кристаллизационны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(1/2C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62" type="#_x0000_t75" alt="ГОСТ 21458-75 Сульфат натрия кристаллизационный. Технические условия (с Изменениями N 1, 2, 3)" style="width:12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63" type="#_x0000_t75" alt="ГОСТ 21458-75 Сульфат натрия кристаллизационный. Технические условия (с Изменениями N 1, 2, 3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N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64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65" type="#_x0000_t75" alt="ГОСТ 21458-75 Сульфат натрия кристаллизационный. Технические условия (с Изменениями N 1, 2, 3)" style="width:8.05pt;height:17.75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66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67" type="#_x0000_t75" alt="ГОСТ 21458-75 Сульфат натрия кристаллизационный. Технические условия (с Изменениями N 1, 2, 3)" style="width:9.15pt;height:9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2Н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68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69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0" type="#_x0000_t75" alt="ГОСТ 21458-75 Сульфат натрия кристаллизационны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прокаленного сульфата натрия,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двух параллельных определений, допускаемые расхождения между которыми не должны превышать 18% относительно среднего результата определения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вычисляе</w:t>
      </w:r>
      <w:proofErr w:type="spellEnd"/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концентрации.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3.10. Определение массовой доли железа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3.10.1 Применяемые приборы,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сульфосалициловая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4478-78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3760-79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10%;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железо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Fe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1" type="#_x0000_t75" alt="ГОСТ 21458-75 Сульфат натрия кристаллизационный. Технические условия (с Изменениями N 1, 2, 3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готовят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2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приготовленного раствора содержит 1 мг железа. Разбавлением получают раствор с массовой долей 0,01 мг железа (раствор Б).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3.10.2.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готовят серию образцовых растворов.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этого в стаканчики вместимостью по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3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каждый приливают по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4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5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азотной кислоты и кипятят содержимое в течение 10 мин. Затем растворы количественно переносят в мерные колбы вместимостью по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6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каждая, охлаждают до комнатной температуры и вводят соответственно 2,0; 4,0; 6,0; 8,0; 10,0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7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что соответствует содержанию 0,02; 0,04; 0,06; 0,08; 0,10 мг железа.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колбы приливают по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8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сульфосалициловой кислоты, перемешивают, добавляют по каплям раствор аммиака до образования желтой окраски, приливают еще 1,5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79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аммиака, доводят объем растворов водой до метки и тщательно перемешивают. Одновременно в мерной колбе готовят раствор сравнения, не содержащий железа. Через 15 мин измеряют оптическую плотность образцовых растворов по отношению к раствору сравнения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длине волны (400±5) нм в кюветах с толщиной поглощающего свет слоя раствора 30 мм,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пользуясь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синим светофильтром.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график, откладывая по оси абсцисс содержание железа в миллиграммах и по оси ординат - соответствующие им значения оптических плотностей растворов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стакан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0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отбирают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1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А, приготовленного по п.3.7.2.2, прибавляют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2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 и кипятят в течение 10 мин. Затем раствор количественно переносят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3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охлаждают до комнатной температуры, приливают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4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сульфосалициловой кислоты, перемешивают, добавляют раствор аммиака по каплям до образования желтой окраски, приливают еще 1,5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5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аммиака, доводят объем раствора до метки водой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Через 15 мин измеряют оптическую плотность анализируемого раствора так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ж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e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как при построении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графика. Пользуясь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графиком, находят содержание железа в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a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нализируемой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пробе.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железа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6" type="#_x0000_t75" alt="ГОСТ 21458-75 Сульфат натрия кристаллизационный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07770" cy="409575"/>
            <wp:effectExtent l="19050" t="0" r="0" b="0"/>
            <wp:docPr id="1263" name="Рисунок 1263" descr="ГОСТ 21458-75 Сульфат натрия кристаллизационн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 descr="ГОСТ 21458-75 Сульфат натрия кристаллизационн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8" type="#_x0000_t75" alt="ГОСТ 21458-75 Сульфат натрия кристаллизационный. Технические условия (с Изменениями N 1, 2, 3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железа, найденная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89" type="#_x0000_t75" alt="ГОСТ 21458-75 Сульфат натрия кристаллизационны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сульфата натрия,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двух параллельных определений, допускаемые расхождения между которыми не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должны превышать 12% относительно среднего результата определения вычисляемой концентрации.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 Определение массовой доли цинка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3.9.2-3.11.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3.11.1.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Применяемые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фтористый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4463-76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4%;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винная (виннокаменная кислота)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5817-77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50%;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3760-79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растворы с массовой долей 10 и 25%;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аммоний хлористый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3773-72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аммиачный буферный раствор,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10, приготовленный по п.3.9.1;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индикатор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эриохром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черный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приготовленный по п.3.9.1;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соль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динатриевая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этилендиамин-N,N,N'N'-тетрауксусной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кислоты, 2-водная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Б)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10652-73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растворы концентраций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0" type="#_x0000_t75" alt="ГОСТ 21458-75 Сульфат натрия кристаллизационны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(1/2С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1" type="#_x0000_t75" alt="ГОСТ 21458-75 Сульфат натрия кристаллизационный. Технические условия (с Изменениями N 1, 2, 3)" style="width:12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2" type="#_x0000_t75" alt="ГОСТ 21458-75 Сульфат натрия кристаллизационный. Технические условия (с Изменениями N 1, 2, 3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N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3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4" type="#_x0000_t75" alt="ГОСТ 21458-75 Сульфат натрия кристаллизационный. Технические условия (с Изменениями N 1, 2, 3)" style="width:8.05pt;height:17.75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5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·2H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6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7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 и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8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3).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299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отбирают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0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А, приготовленного по п.3.7.2.2, прибавляют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1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фтористого натрия,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2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винной кислоты и нейтрализуют раствором аммиака с массовой долей 10% по универсальной индикаторной бумажке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7. Затем прибавляют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3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аммиачного буферного раствора и титруют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присутствии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эриохрома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черного Т (около 0,1 г) до перехода окраски от малиново-розовой в синюю.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цинка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4" type="#_x0000_t75" alt="ГОСТ 21458-75 Сульфат натрия кристаллизационный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869440" cy="389255"/>
            <wp:effectExtent l="19050" t="0" r="0" b="0"/>
            <wp:docPr id="1281" name="Рисунок 1281" descr="ГОСТ 21458-75 Сульфат натрия кристаллизационн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 descr="ГОСТ 21458-75 Сульфат натрия кристаллизационн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6" type="#_x0000_t75" alt="ГОСТ 21458-75 Сульфат натрия кристаллизационный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7" type="#_x0000_t75" alt="ГОСТ 21458-75 Сульфат натрия кристаллизационны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(1/2С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8" type="#_x0000_t75" alt="ГОСТ 21458-75 Сульфат натрия кристаллизационный. Технические условия (с Изменениями N 1, 2, 3)" style="width:12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09" type="#_x0000_t75" alt="ГОСТ 21458-75 Сульфат натрия кристаллизационный. Технические условия (с Изменениями N 1, 2, 3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N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0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1" type="#_x0000_t75" alt="ГОСТ 21458-75 Сульфат натрия кристаллизационный. Технические условия (с Изменениями N 1, 2, 3)" style="width:8.05pt;height:17.75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2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3" type="#_x0000_t75" alt="ГОСТ 21458-75 Сульфат натрия кристаллизационный. Технические условия (с Изменениями N 1, 2, 3)" style="width:9.15pt;height:9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2H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4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5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н.), израсходованный на титрование анализируемого раствора,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6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88975" cy="198120"/>
            <wp:effectExtent l="19050" t="0" r="0" b="0"/>
            <wp:docPr id="1293" name="Рисунок 1293" descr="ГОСТ 21458-75 Сульфат натрия кристаллизационн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" descr="ГОСТ 21458-75 Сульфат натрия кристаллизационн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количество ионов цинка, соответствующее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8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трилона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19" type="#_x0000_t75" alt="ГОСТ 21458-75 Сульфат натрия кристаллизационны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(1/2С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0" type="#_x0000_t75" alt="ГОСТ 21458-75 Сульфат натрия кристаллизационный. Технические условия (с Изменениями N 1, 2, 3)" style="width:12.3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1" type="#_x0000_t75" alt="ГОСТ 21458-75 Сульфат натрия кристаллизационный. Технические условия (с Изменениями N 1, 2, 3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N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2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3" type="#_x0000_t75" alt="ГОСТ 21458-75 Сульфат натрия кристаллизационный. Технические условия (с Изменениями N 1, 2, 3)" style="width:8.05pt;height:17.75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4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5" type="#_x0000_t75" alt="ГОСТ 21458-75 Сульфат натрия кристаллизационный. Технические условия (с Изменениями N 1, 2, 3)" style="width:9.15pt;height:9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2H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6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7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8" type="#_x0000_t75" alt="ГОСТ 21458-75 Сульфат натрия кристаллизационны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сульфата натрия,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двух параллельных определений, допускаемые расхождения между которыми не должны превышать 20% относительно среднего результата определения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вычисляе</w:t>
      </w:r>
      <w:proofErr w:type="spellEnd"/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концентрации.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 Определение массовой доли хлоридов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3.11.2-3.12.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3.12.1. Применяемые реактивы и растворы: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кислота азотная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29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 н.);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ртуть азотнокислая окисная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4520-78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30" type="#_x0000_t75" alt="ГОСТ 21458-75 Сульфат натрия кристаллизационны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(1/2Hg(NO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31" type="#_x0000_t75" alt="ГОСТ 21458-75 Сульфат натрия кристаллизационны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32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33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дифенилкарбазид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ТУ 6-09-07-1672-88, раствор с массовой долей 1%, готовят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3).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коническую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34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отбирают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35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А, приготовленного по п.3.7.2.2,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36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азотной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37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дифенилкарбазида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массовой долей 1% и титруют раствором окисной азотнокислой ртути до перехода окраски от бесцветной в фиолетовую.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хлоридов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38" type="#_x0000_t75" alt="ГОСТ 21458-75 Сульфат натрия кристаллизационный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12595" cy="389255"/>
            <wp:effectExtent l="19050" t="0" r="1905" b="0"/>
            <wp:docPr id="1315" name="Рисунок 1315" descr="ГОСТ 21458-75 Сульфат натрия кристаллизационн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 descr="ГОСТ 21458-75 Сульфат натрия кристаллизационн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40" type="#_x0000_t75" alt="ГОСТ 21458-75 Сульфат натрия кристаллизационный. Технические условия (с Изменениями N 1, 2, 3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окисной азотнокислой ртути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41" type="#_x0000_t75" alt="ГОСТ 21458-75 Сульфат натрия кристаллизационны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(1/2Hg(NO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42" type="#_x0000_t75" alt="ГОСТ 21458-75 Сульфат натрия кристаллизационны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43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44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н.), израсходованный на титрование анализируемого раствора,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45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32130" cy="198120"/>
            <wp:effectExtent l="19050" t="0" r="1270" b="0"/>
            <wp:docPr id="1322" name="Рисунок 1322" descr="ГОСТ 21458-75 Сульфат натрия кристаллизационн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 descr="ГОСТ 21458-75 Сульфат натрия кристаллизационн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количество хлора, соответствующее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47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окисной азотнокислой ртути концентрации точно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48" type="#_x0000_t75" alt="ГОСТ 21458-75 Сульфат натрия кристаллизационны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(1/2Hg(NO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49" type="#_x0000_t75" alt="ГОСТ 21458-75 Сульфат натрия кристаллизационны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50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51" type="#_x0000_t75" alt="ГОСТ 21458-75 Сульфат натрия кристаллизационны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(0,1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52" type="#_x0000_t75" alt="ГОСТ 21458-75 Сульфат натрия кристаллизационны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сульфата натрия,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двух параллельных определений, допускаемые расхождения между которыми не должны превышать 18% относительно среднего результата определения вычисляемой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концен</w:t>
      </w:r>
      <w:proofErr w:type="spellEnd"/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трации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3.13. Определение массовой доли воды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3.13.1.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10 г сульфата натрия взвешивают (результат взвешивания в граммах записывают до четвертого десятичного знака), помещают в бюксу, доведенную до постоянной массы, и высушивают в сушильном шкафу при 100-105 °С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3.12.3-3.13.1.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3.13.2. Обработки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воды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53" type="#_x0000_t75" alt="ГОСТ 21458-75 Сульфат натрия кристаллизационный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55395" cy="409575"/>
            <wp:effectExtent l="19050" t="0" r="1905" b="0"/>
            <wp:docPr id="1330" name="Рисунок 1330" descr="ГОСТ 21458-75 Сульфат натрия кристаллизационны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 descr="ГОСТ 21458-75 Сульфат натрия кристаллизационны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55" type="#_x0000_t75" alt="ГОСТ 21458-75 Сульфат натрия кристаллизационны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сульфата натрия,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356" type="#_x0000_t75" alt="ГОСТ 21458-75 Сульфат натрия кристаллизационный. Технические условия (с Изменениями N 1, 2, 3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высушенного продукта,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двух параллельных определений, допускаемые расхождения между которыми не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должны превышать 6% относительно среднего результата определения вычисляемой концентрации.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Сульфат натрия упаковывают в четырех-, пятислойные бумажные мешки марок ВМ, ПМ, БМП, ВМБ, ВМП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2226-88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полиэтиленовые мешки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17811-78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в мягкие контейнеры типа МКР-1, О М, МКР-1,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(с мешком-вкладышем).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Полиэтиленовые мешки должны быть заварены, бумажные - прошиты машинным способом.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каждого мешка одной партии должна быть одинаковой, допускаемые отклонения в массе составляют ±3%. Предельная масса мешка -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2226-88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Сульфат натрия, упакованный в мешки, транспортируют по железной дороге пакетами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26663-85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сульфат натрия, упакованный в мешки, транспортировать по железной дороге в непакетированном виде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отправками при наличии подъездных путей у изготовителя и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Сульфат натрия, упакованный в мягкие контейнеры, транспортируют в полувагонах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отправками без перевалов в пути следования с погрузкой и выгрузкой на подъездных путях грузоотправителя (получателя) согласно правилам перевозки грузов и техническим условиям погрузки и крепления грузов, утвержденным Министерством путей сообщения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согласованию с потребителем допускается мягкие контейнеры транспортировать в крытых железнодорожных вагонах.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Сульфат натрия транспортируют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содовозах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Транспортная манкировка по </w:t>
      </w:r>
      <w:r w:rsidRPr="00F00EB1">
        <w:rPr>
          <w:rFonts w:ascii="Arial" w:hAnsi="Arial" w:cs="Arial"/>
          <w:color w:val="2D2D2D"/>
          <w:spacing w:val="1"/>
          <w:sz w:val="15"/>
          <w:szCs w:val="15"/>
        </w:rPr>
        <w:t>ГОСТ 14192-77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манипуляционного знака "Боится сырости".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Маркировка должна содержать следующие данные об упакованной продукции: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продукции и сорта;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 и брутто;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4.2, 4.3.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Упакованный сульфат натрия хранят в неповрежденной упаковке в крытых складских помещениях, в неупакованном виде - в крытых складских помещениях с цементным полом, асфальтовым или кирпичным в силосах. Мягкие контейнеры хранят на открытых площадках.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должен гарантировать соответствие сульфата натрия требованиям настоящего стандарта при соблюдении условия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сульфата натрия - шесть месяцев со дня изготовления.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5.1, 5.2.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ТРЕБОВАНИЯ БЕЗОПАСНОСТИ</w:t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6.1. Сульфат натрия не токсичен,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взрывобезопасен. Пылевоздушная смесь сульфата натрия не взрывоопасна.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 Все работы с сульфатом натрия должны проводиться в помещениях, оборудованных приточно-вытяжной вентиляцией, а места наибольшего пылевыделения должны быть оборудованы укрытиями с местной вытяжной вентиляцией.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6.4. Для защиты от пыли сульфата натрия применяют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противопыльные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респираторы типа ШБ-1 "Лепесток-5".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00EB1" w:rsidRDefault="00F00EB1" w:rsidP="00F00EB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6.5. Все работы проводятся в спецодежде в соответствии с типовыми отраслевыми нормами, утвержденными Постановлением Государственного комитета Совета Министров СССР по вопросам труда и заработной платы и Президиума ВЦСПС.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F00EB1" w:rsidRDefault="00FC651B" w:rsidP="00F00EB1">
      <w:pPr>
        <w:rPr>
          <w:szCs w:val="15"/>
        </w:rPr>
      </w:pPr>
    </w:p>
    <w:sectPr w:rsidR="00FC651B" w:rsidRPr="00F00EB1" w:rsidSect="0095551E">
      <w:footerReference w:type="default" r:id="rId26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5C1632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33C24"/>
    <w:multiLevelType w:val="multilevel"/>
    <w:tmpl w:val="E1B0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E276FC"/>
    <w:multiLevelType w:val="multilevel"/>
    <w:tmpl w:val="FF16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45503C"/>
    <w:multiLevelType w:val="multilevel"/>
    <w:tmpl w:val="A466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EC1262"/>
    <w:multiLevelType w:val="multilevel"/>
    <w:tmpl w:val="E6BE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E027E7"/>
    <w:multiLevelType w:val="multilevel"/>
    <w:tmpl w:val="0B72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952CAE"/>
    <w:multiLevelType w:val="multilevel"/>
    <w:tmpl w:val="875C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D1279A"/>
    <w:multiLevelType w:val="multilevel"/>
    <w:tmpl w:val="EC06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DA6F56"/>
    <w:multiLevelType w:val="multilevel"/>
    <w:tmpl w:val="0E24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737FE8"/>
    <w:multiLevelType w:val="multilevel"/>
    <w:tmpl w:val="6FA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3A43DC"/>
    <w:multiLevelType w:val="multilevel"/>
    <w:tmpl w:val="3468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06598F"/>
    <w:multiLevelType w:val="multilevel"/>
    <w:tmpl w:val="144C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361749"/>
    <w:multiLevelType w:val="multilevel"/>
    <w:tmpl w:val="E4F8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A91EB0"/>
    <w:multiLevelType w:val="multilevel"/>
    <w:tmpl w:val="F2AE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416DA7"/>
    <w:multiLevelType w:val="multilevel"/>
    <w:tmpl w:val="DEB6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22066E"/>
    <w:multiLevelType w:val="multilevel"/>
    <w:tmpl w:val="D94C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C86C9F"/>
    <w:multiLevelType w:val="multilevel"/>
    <w:tmpl w:val="E194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207575"/>
    <w:multiLevelType w:val="multilevel"/>
    <w:tmpl w:val="CB32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40"/>
  </w:num>
  <w:num w:numId="3">
    <w:abstractNumId w:val="42"/>
  </w:num>
  <w:num w:numId="4">
    <w:abstractNumId w:val="6"/>
  </w:num>
  <w:num w:numId="5">
    <w:abstractNumId w:val="31"/>
  </w:num>
  <w:num w:numId="6">
    <w:abstractNumId w:val="22"/>
  </w:num>
  <w:num w:numId="7">
    <w:abstractNumId w:val="21"/>
  </w:num>
  <w:num w:numId="8">
    <w:abstractNumId w:val="7"/>
  </w:num>
  <w:num w:numId="9">
    <w:abstractNumId w:val="35"/>
  </w:num>
  <w:num w:numId="10">
    <w:abstractNumId w:val="14"/>
  </w:num>
  <w:num w:numId="11">
    <w:abstractNumId w:val="16"/>
  </w:num>
  <w:num w:numId="12">
    <w:abstractNumId w:val="19"/>
  </w:num>
  <w:num w:numId="13">
    <w:abstractNumId w:val="34"/>
  </w:num>
  <w:num w:numId="14">
    <w:abstractNumId w:val="18"/>
  </w:num>
  <w:num w:numId="15">
    <w:abstractNumId w:val="4"/>
  </w:num>
  <w:num w:numId="16">
    <w:abstractNumId w:val="3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9"/>
  </w:num>
  <w:num w:numId="23">
    <w:abstractNumId w:val="11"/>
  </w:num>
  <w:num w:numId="24">
    <w:abstractNumId w:val="12"/>
  </w:num>
  <w:num w:numId="25">
    <w:abstractNumId w:val="38"/>
  </w:num>
  <w:num w:numId="26">
    <w:abstractNumId w:val="28"/>
  </w:num>
  <w:num w:numId="27">
    <w:abstractNumId w:val="32"/>
  </w:num>
  <w:num w:numId="28">
    <w:abstractNumId w:val="8"/>
  </w:num>
  <w:num w:numId="29">
    <w:abstractNumId w:val="24"/>
  </w:num>
  <w:num w:numId="30">
    <w:abstractNumId w:val="23"/>
  </w:num>
  <w:num w:numId="31">
    <w:abstractNumId w:val="15"/>
  </w:num>
  <w:num w:numId="32">
    <w:abstractNumId w:val="41"/>
  </w:num>
  <w:num w:numId="33">
    <w:abstractNumId w:val="27"/>
  </w:num>
  <w:num w:numId="34">
    <w:abstractNumId w:val="25"/>
  </w:num>
  <w:num w:numId="35">
    <w:abstractNumId w:val="5"/>
  </w:num>
  <w:num w:numId="36">
    <w:abstractNumId w:val="45"/>
  </w:num>
  <w:num w:numId="37">
    <w:abstractNumId w:val="13"/>
  </w:num>
  <w:num w:numId="38">
    <w:abstractNumId w:val="30"/>
  </w:num>
  <w:num w:numId="39">
    <w:abstractNumId w:val="43"/>
  </w:num>
  <w:num w:numId="40">
    <w:abstractNumId w:val="17"/>
  </w:num>
  <w:num w:numId="41">
    <w:abstractNumId w:val="29"/>
  </w:num>
  <w:num w:numId="42">
    <w:abstractNumId w:val="33"/>
  </w:num>
  <w:num w:numId="43">
    <w:abstractNumId w:val="10"/>
  </w:num>
  <w:num w:numId="44">
    <w:abstractNumId w:val="39"/>
  </w:num>
  <w:num w:numId="45">
    <w:abstractNumId w:val="26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5C1632"/>
    <w:rsid w:val="005D6E61"/>
    <w:rsid w:val="006B6B83"/>
    <w:rsid w:val="007214CA"/>
    <w:rsid w:val="007E5D19"/>
    <w:rsid w:val="008E615F"/>
    <w:rsid w:val="0091318A"/>
    <w:rsid w:val="00940225"/>
    <w:rsid w:val="0095551E"/>
    <w:rsid w:val="00A22746"/>
    <w:rsid w:val="00A716F7"/>
    <w:rsid w:val="00A9165C"/>
    <w:rsid w:val="00AA6FD4"/>
    <w:rsid w:val="00B4381A"/>
    <w:rsid w:val="00BC7B61"/>
    <w:rsid w:val="00C91654"/>
    <w:rsid w:val="00C97D58"/>
    <w:rsid w:val="00CE3CDF"/>
    <w:rsid w:val="00D445F4"/>
    <w:rsid w:val="00D637C8"/>
    <w:rsid w:val="00D71C2F"/>
    <w:rsid w:val="00DA4FBF"/>
    <w:rsid w:val="00DD1738"/>
    <w:rsid w:val="00DF351E"/>
    <w:rsid w:val="00E77C21"/>
    <w:rsid w:val="00F00EB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bold">
    <w:name w:val="bold"/>
    <w:basedOn w:val="a0"/>
    <w:rsid w:val="00F00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97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411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080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9239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6613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9266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421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329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165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6091226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5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9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45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8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0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3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97193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02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779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46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13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978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715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45111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3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03663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337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065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990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14905671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1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8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9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8380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1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4971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90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238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2017-09-28T10:05:00Z</dcterms:created>
  <dcterms:modified xsi:type="dcterms:W3CDTF">2017-09-28T10:05:00Z</dcterms:modified>
</cp:coreProperties>
</file>