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E0" w:rsidRDefault="000E40E0" w:rsidP="000E40E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212-76 (</w:t>
      </w:r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СТ</w:t>
      </w:r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СЭВ 6439-88) Концентрат молибденовый. Технические условия (с Изменениями N 1-6)</w:t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ГОСТ 212-76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СЭВ 6439-88)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А32</w:t>
      </w:r>
    </w:p>
    <w:p w:rsidR="000E40E0" w:rsidRDefault="000E40E0" w:rsidP="000E40E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ГОСУДАРСТВЕННЫЙ СТАНДАРТ СОЮЗА ССР</w:t>
      </w:r>
    </w:p>
    <w:p w:rsidR="000E40E0" w:rsidRDefault="000E40E0" w:rsidP="000E40E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КОНЦЕНТРАТ МОЛИБДЕНОВЫЙ</w:t>
      </w:r>
    </w:p>
    <w:p w:rsidR="000E40E0" w:rsidRDefault="000E40E0" w:rsidP="000E40E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0E40E0" w:rsidRDefault="000E40E0" w:rsidP="000E40E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Molybdenum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concentrate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17 4112</w:t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1978-01-01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цветной металлургии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С.И.Черных (руководитель темы), А.И.Никулин, И.И.Мурашкина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27 апреля 1976 г. N 941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Срок первой проверки - 1992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Периодичность проверки - 5 лет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 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СЭВ 6439-88 и унифицирован с УСТ 2651-78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ВЗАМЕН ГОСТ 212-69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5"/>
        <w:gridCol w:w="5314"/>
      </w:tblGrid>
      <w:tr w:rsidR="000E40E0" w:rsidTr="000E40E0">
        <w:trPr>
          <w:trHeight w:val="15"/>
        </w:trPr>
        <w:tc>
          <w:tcPr>
            <w:tcW w:w="5544" w:type="dxa"/>
            <w:hideMark/>
          </w:tcPr>
          <w:p w:rsidR="000E40E0" w:rsidRDefault="000E40E0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0E40E0" w:rsidRDefault="000E40E0">
            <w:pPr>
              <w:rPr>
                <w:sz w:val="2"/>
                <w:szCs w:val="24"/>
              </w:rPr>
            </w:pPr>
          </w:p>
        </w:tc>
      </w:tr>
      <w:tr w:rsidR="000E40E0" w:rsidTr="000E40E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0E40E0" w:rsidTr="000E40E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E40E0">
              <w:rPr>
                <w:color w:val="2D2D2D"/>
                <w:sz w:val="15"/>
                <w:szCs w:val="15"/>
              </w:rPr>
              <w:t>ГОСТ 12.0.004-90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2а.14</w:t>
            </w:r>
          </w:p>
        </w:tc>
      </w:tr>
      <w:tr w:rsidR="000E40E0" w:rsidTr="000E40E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E40E0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2а.3; 2а.4; 2а.9; 2а.10</w:t>
            </w:r>
          </w:p>
        </w:tc>
      </w:tr>
      <w:tr w:rsidR="000E40E0" w:rsidTr="000E40E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E40E0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2а.1; 2а.4; 2а.9</w:t>
            </w:r>
          </w:p>
        </w:tc>
      </w:tr>
      <w:tr w:rsidR="000E40E0" w:rsidTr="000E40E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E40E0">
              <w:rPr>
                <w:color w:val="2D2D2D"/>
                <w:sz w:val="15"/>
                <w:szCs w:val="15"/>
              </w:rPr>
              <w:t>ГОСТ 12.1.016-79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2а.4</w:t>
            </w:r>
          </w:p>
        </w:tc>
      </w:tr>
      <w:tr w:rsidR="000E40E0" w:rsidTr="000E40E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E40E0">
              <w:rPr>
                <w:color w:val="2D2D2D"/>
                <w:sz w:val="15"/>
                <w:szCs w:val="15"/>
              </w:rPr>
              <w:t>ГОСТ 12.3.009-76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2а.6</w:t>
            </w:r>
          </w:p>
        </w:tc>
      </w:tr>
      <w:tr w:rsidR="000E40E0" w:rsidTr="000E40E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E40E0">
              <w:rPr>
                <w:color w:val="2D2D2D"/>
                <w:sz w:val="15"/>
                <w:szCs w:val="15"/>
              </w:rPr>
              <w:t>ГОСТ 12.4.011-89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2а.10</w:t>
            </w:r>
          </w:p>
        </w:tc>
      </w:tr>
      <w:tr w:rsidR="000E40E0" w:rsidTr="000E40E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E40E0">
              <w:rPr>
                <w:color w:val="2D2D2D"/>
                <w:sz w:val="15"/>
                <w:szCs w:val="15"/>
              </w:rPr>
              <w:t>ГОСТ 12.4.021-75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2а.10</w:t>
            </w:r>
          </w:p>
        </w:tc>
      </w:tr>
      <w:tr w:rsidR="000E40E0" w:rsidTr="000E40E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E40E0">
              <w:rPr>
                <w:color w:val="2D2D2D"/>
                <w:sz w:val="15"/>
                <w:szCs w:val="15"/>
              </w:rPr>
              <w:t>ГОСТ 12.4.028-76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 12</w:t>
            </w:r>
          </w:p>
        </w:tc>
      </w:tr>
      <w:tr w:rsidR="000E40E0" w:rsidTr="000E40E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E40E0">
              <w:rPr>
                <w:color w:val="2D2D2D"/>
                <w:sz w:val="15"/>
                <w:szCs w:val="15"/>
              </w:rPr>
              <w:t>ГОСТ 12.4.103-83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 12</w:t>
            </w:r>
          </w:p>
        </w:tc>
      </w:tr>
      <w:tr w:rsidR="000E40E0" w:rsidTr="000E40E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E40E0">
              <w:rPr>
                <w:color w:val="2D2D2D"/>
                <w:sz w:val="15"/>
                <w:szCs w:val="15"/>
              </w:rPr>
              <w:t>ГОСТ 2082.0-81</w:t>
            </w:r>
            <w:r>
              <w:rPr>
                <w:color w:val="2D2D2D"/>
                <w:sz w:val="15"/>
                <w:szCs w:val="15"/>
              </w:rPr>
              <w:t> - </w:t>
            </w:r>
            <w:r w:rsidRPr="000E40E0">
              <w:rPr>
                <w:color w:val="2D2D2D"/>
                <w:sz w:val="15"/>
                <w:szCs w:val="15"/>
              </w:rPr>
              <w:t>ГОСТ 2082.17-81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0E40E0" w:rsidTr="000E40E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E40E0">
              <w:rPr>
                <w:color w:val="2D2D2D"/>
                <w:sz w:val="15"/>
                <w:szCs w:val="15"/>
              </w:rPr>
              <w:t>ГОСТ 2082.13-81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</w:tr>
      <w:tr w:rsidR="000E40E0" w:rsidTr="000E40E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E40E0">
              <w:rPr>
                <w:color w:val="2D2D2D"/>
                <w:sz w:val="15"/>
                <w:szCs w:val="15"/>
              </w:rPr>
              <w:t>ГОСТ 2082.15-81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</w:tr>
      <w:tr w:rsidR="000E40E0" w:rsidTr="000E40E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E40E0">
              <w:rPr>
                <w:color w:val="2D2D2D"/>
                <w:sz w:val="15"/>
                <w:szCs w:val="15"/>
              </w:rPr>
              <w:t>ГОСТ 2226-88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0E40E0" w:rsidTr="000E40E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E40E0">
              <w:rPr>
                <w:color w:val="2D2D2D"/>
                <w:sz w:val="15"/>
                <w:szCs w:val="15"/>
              </w:rPr>
              <w:t>ГОСТ 2874-82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2а.3</w:t>
            </w:r>
          </w:p>
        </w:tc>
      </w:tr>
      <w:tr w:rsidR="000E40E0" w:rsidTr="000E40E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E40E0">
              <w:rPr>
                <w:color w:val="2D2D2D"/>
                <w:sz w:val="15"/>
                <w:szCs w:val="15"/>
              </w:rPr>
              <w:t>ГОСТ 9078-84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5.5</w:t>
            </w:r>
          </w:p>
        </w:tc>
      </w:tr>
      <w:tr w:rsidR="000E40E0" w:rsidTr="000E40E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E40E0">
              <w:rPr>
                <w:color w:val="2D2D2D"/>
                <w:sz w:val="15"/>
                <w:szCs w:val="15"/>
              </w:rPr>
              <w:t>ГОСТ 14180-80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3.1; 4.1</w:t>
            </w:r>
          </w:p>
        </w:tc>
      </w:tr>
      <w:tr w:rsidR="000E40E0" w:rsidTr="000E40E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E40E0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</w:t>
            </w:r>
          </w:p>
        </w:tc>
      </w:tr>
      <w:tr w:rsidR="000E40E0" w:rsidTr="000E40E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E40E0">
              <w:rPr>
                <w:color w:val="2D2D2D"/>
                <w:sz w:val="15"/>
                <w:szCs w:val="15"/>
              </w:rPr>
              <w:t>ГОСТ 18308-72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2а.4</w:t>
            </w:r>
          </w:p>
        </w:tc>
      </w:tr>
      <w:tr w:rsidR="000E40E0" w:rsidTr="000E40E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E40E0">
              <w:rPr>
                <w:color w:val="2D2D2D"/>
                <w:sz w:val="15"/>
                <w:szCs w:val="15"/>
              </w:rPr>
              <w:t>ГОСТ 21650-76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5.5</w:t>
            </w:r>
          </w:p>
        </w:tc>
      </w:tr>
      <w:tr w:rsidR="000E40E0" w:rsidTr="000E40E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E40E0">
              <w:rPr>
                <w:color w:val="2D2D2D"/>
                <w:sz w:val="15"/>
                <w:szCs w:val="15"/>
              </w:rPr>
              <w:lastRenderedPageBreak/>
              <w:t>ГОСТ 26663-85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5.5</w:t>
            </w:r>
          </w:p>
        </w:tc>
      </w:tr>
      <w:tr w:rsidR="000E40E0" w:rsidTr="000E40E0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E40E0">
              <w:rPr>
                <w:color w:val="2D2D2D"/>
                <w:sz w:val="15"/>
                <w:szCs w:val="15"/>
              </w:rPr>
              <w:t>ГОСТ 30090-93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</w:tbl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Ограничение срока действия снято Постановлением Государственного комитета СССР по управлению качеством продукции и стандартам от 26.06.91 N 1028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 ПЕРЕИЗДАНИЕ (октябрь 1997 г.) с Изменениями N 1, 2, 3, 4, 5, 6, утвержденными в декабре 1982 г., декабре 1983 г., марте 1985 г., марте 1987 г., октябре 1989 г., июне 1991 г. (ИУС 4-83, 3-84, 6-85, 6-87, 2-90, 9-91)</w:t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молибденовый концентрат, получаемый при обогащении молибденсодержащих руд и гидрометаллургической переработке молибденового сырья.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Молибденовый концентрат предназначается для производства ферромолибдена,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вольфрамсодержащих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лигатур на основе молибдена, солей молибдена и технической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трехокиси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молибдена.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5).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МАРКИ</w:t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Молибденовый концентрат выпускают следующих марок, указанных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8"/>
        <w:gridCol w:w="1935"/>
        <w:gridCol w:w="3051"/>
        <w:gridCol w:w="4085"/>
      </w:tblGrid>
      <w:tr w:rsidR="000E40E0" w:rsidTr="000E40E0">
        <w:trPr>
          <w:trHeight w:val="15"/>
        </w:trPr>
        <w:tc>
          <w:tcPr>
            <w:tcW w:w="1478" w:type="dxa"/>
            <w:hideMark/>
          </w:tcPr>
          <w:p w:rsidR="000E40E0" w:rsidRDefault="000E40E0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0E40E0" w:rsidRDefault="000E40E0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0E40E0" w:rsidRDefault="000E40E0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0E40E0" w:rsidRDefault="000E40E0">
            <w:pPr>
              <w:rPr>
                <w:sz w:val="2"/>
                <w:szCs w:val="24"/>
              </w:rPr>
            </w:pPr>
          </w:p>
        </w:tc>
      </w:tr>
      <w:tr w:rsidR="000E40E0" w:rsidTr="000E40E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марки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Преимущественная область применения</w:t>
            </w:r>
          </w:p>
        </w:tc>
      </w:tr>
      <w:tr w:rsidR="000E40E0" w:rsidTr="000E40E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КМГ-В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17 4112 0001 03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Концентрат молибденовый гидрометаллургический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производства ферромолибдена, </w:t>
            </w:r>
            <w:proofErr w:type="spellStart"/>
            <w:r>
              <w:rPr>
                <w:color w:val="2D2D2D"/>
                <w:sz w:val="15"/>
                <w:szCs w:val="15"/>
              </w:rPr>
              <w:t>вольфрамсодержащих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лигатур на основе молибдена</w:t>
            </w:r>
          </w:p>
        </w:tc>
      </w:tr>
      <w:tr w:rsidR="000E40E0" w:rsidTr="000E40E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КМГ-1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17 4112 0002 02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0E40E0" w:rsidTr="000E40E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КМГ-2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17 4112 0003 01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0E40E0" w:rsidTr="000E40E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КМФ-В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17 4112 0004 00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Концентрат молибденовый флотационный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производства солей молибдена и </w:t>
            </w:r>
            <w:proofErr w:type="gramStart"/>
            <w:r>
              <w:rPr>
                <w:color w:val="2D2D2D"/>
                <w:sz w:val="15"/>
                <w:szCs w:val="15"/>
              </w:rPr>
              <w:t>технической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трехокиси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молибдена</w:t>
            </w:r>
          </w:p>
        </w:tc>
      </w:tr>
      <w:tr w:rsidR="000E40E0" w:rsidTr="000E40E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КМФ-1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17 4112 0005 10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0E40E0" w:rsidTr="000E40E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КМФ-2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17 4112 0006 09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производства дисульфида молибдена и солей молибдена</w:t>
            </w:r>
          </w:p>
        </w:tc>
      </w:tr>
      <w:tr w:rsidR="000E40E0" w:rsidTr="000E40E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КМФ-3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17 4112 0007 08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производства ферромолибдена, дисульфида молибдена и солей молибдена</w:t>
            </w:r>
          </w:p>
        </w:tc>
      </w:tr>
      <w:tr w:rsidR="000E40E0" w:rsidTr="000E40E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КМФ-4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17 4112 0008 07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производства солей молибдена и </w:t>
            </w:r>
            <w:proofErr w:type="gramStart"/>
            <w:r>
              <w:rPr>
                <w:color w:val="2D2D2D"/>
                <w:sz w:val="15"/>
                <w:szCs w:val="15"/>
              </w:rPr>
              <w:t>технической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трехокиси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молибдена</w:t>
            </w:r>
          </w:p>
        </w:tc>
      </w:tr>
      <w:tr w:rsidR="000E40E0" w:rsidTr="000E40E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КМФ-5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17 4112 0009 06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производства ферромолибдена и солей молибдена</w:t>
            </w:r>
          </w:p>
        </w:tc>
      </w:tr>
      <w:tr w:rsidR="000E40E0" w:rsidTr="000E40E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КМФ-6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17 4112 0010 02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производства ферромолибдена, </w:t>
            </w:r>
            <w:proofErr w:type="gramStart"/>
            <w:r>
              <w:rPr>
                <w:color w:val="2D2D2D"/>
                <w:sz w:val="15"/>
                <w:szCs w:val="15"/>
              </w:rPr>
              <w:t>технической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трехокиси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молибдена</w:t>
            </w:r>
          </w:p>
        </w:tc>
      </w:tr>
      <w:tr w:rsidR="000E40E0" w:rsidTr="000E40E0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КМФ-7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17 4112 0011 01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производства </w:t>
            </w:r>
            <w:proofErr w:type="gramStart"/>
            <w:r>
              <w:rPr>
                <w:color w:val="2D2D2D"/>
                <w:sz w:val="15"/>
                <w:szCs w:val="15"/>
              </w:rPr>
              <w:t>технической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трехокиси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солей молибдена</w:t>
            </w:r>
          </w:p>
        </w:tc>
      </w:tr>
      <w:tr w:rsidR="000E40E0" w:rsidTr="000E40E0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КМФ-8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17 4112 0012 00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 Молибденовые концентраты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Эрденетского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комбината применяются для производства солей молибдена 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технической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трехокиси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молибдена.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Молибденовые концентраты марки КМФ-7 по согласованию с потребителем могут применяться для производства ферромолибдена.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3, 5, 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ТЕХНИЧЕСКИЕ ТРЕБОВАНИЯ</w:t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2.1а. Концентрат молибденовый следует изготовлять в соответствии с требованиями настоящего стандарта по технологической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5).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2.1б. Содержание примесей в молибденовом концентрате марки КМФ-2, изготовляемом Зангезурским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медномолибденовым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комбинатом, должно быть не более: мышьяка - 0,02%, олова - 0,01%, фосфора - 0,01%. Суммарное содержание влаги и масла не должно превышать 6%, в том числе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влаги - 3%.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5).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Химический состав молибденового концентрата в пересчете на абсолютно сухое вещество должен соответствовать нормам, указанным в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48"/>
        <w:gridCol w:w="683"/>
        <w:gridCol w:w="834"/>
        <w:gridCol w:w="533"/>
        <w:gridCol w:w="690"/>
        <w:gridCol w:w="690"/>
        <w:gridCol w:w="690"/>
        <w:gridCol w:w="840"/>
        <w:gridCol w:w="690"/>
        <w:gridCol w:w="690"/>
        <w:gridCol w:w="539"/>
        <w:gridCol w:w="690"/>
        <w:gridCol w:w="1372"/>
      </w:tblGrid>
      <w:tr w:rsidR="000E40E0" w:rsidTr="000E40E0">
        <w:trPr>
          <w:trHeight w:val="15"/>
        </w:trPr>
        <w:tc>
          <w:tcPr>
            <w:tcW w:w="1663" w:type="dxa"/>
            <w:hideMark/>
          </w:tcPr>
          <w:p w:rsidR="000E40E0" w:rsidRDefault="000E40E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E40E0" w:rsidRDefault="000E40E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E40E0" w:rsidRDefault="000E40E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E40E0" w:rsidRDefault="000E40E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E40E0" w:rsidRDefault="000E40E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E40E0" w:rsidRDefault="000E40E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E40E0" w:rsidRDefault="000E40E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E40E0" w:rsidRDefault="000E40E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E40E0" w:rsidRDefault="000E40E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E40E0" w:rsidRDefault="000E40E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E40E0" w:rsidRDefault="000E40E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E40E0" w:rsidRDefault="000E40E0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E40E0" w:rsidRDefault="000E40E0">
            <w:pPr>
              <w:rPr>
                <w:sz w:val="2"/>
                <w:szCs w:val="24"/>
              </w:rPr>
            </w:pPr>
          </w:p>
        </w:tc>
      </w:tr>
      <w:tr w:rsidR="000E40E0" w:rsidTr="000E40E0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961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марки</w:t>
            </w:r>
          </w:p>
        </w:tc>
      </w:tr>
      <w:tr w:rsidR="000E40E0" w:rsidTr="000E40E0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КМГ-В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КМГ-1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КМГ-2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КМФ-В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КМФ-1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КМФ-2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КМФ-3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КМФ-4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КМФ-5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КМФ-6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КМФ-7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КМФ-8</w:t>
            </w:r>
          </w:p>
        </w:tc>
      </w:tr>
      <w:tr w:rsidR="000E40E0" w:rsidTr="000E40E0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молибдена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23" type="#_x0000_t75" alt="ГОСТ 212-76 (СТ СЭВ 6439-88) Концентрат молибденовый. Технические условия (с Изменениями N 1-6)" style="width:20.95pt;height:12.9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менее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</w:tr>
      <w:tr w:rsidR="000E40E0" w:rsidTr="000E40E0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двуокиси кремния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324" type="#_x0000_t75" alt="ГОСТ 212-76 (СТ СЭВ 6439-88) Концентрат молибденовый. Технические условия (с Изменениями N 1-6)" style="width:26.85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0E40E0" w:rsidTr="000E40E0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мышьяка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325" type="#_x0000_t75" alt="ГОСТ 212-76 (СТ СЭВ 6439-88) Концентрат молибденовый. Технические условия (с Изменениями N 1-6)" style="width:17.2pt;height:14.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0E40E0" w:rsidTr="000E40E0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олова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326" type="#_x0000_t75" alt="ГОСТ 212-76 (СТ СЭВ 6439-88) Концентрат молибденовый. Технические условия (с Изменениями N 1-6)" style="width:15.6pt;height:14.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0E40E0" w:rsidTr="000E40E0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фосфора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327" type="#_x0000_t75" alt="ГОСТ 212-76 (СТ СЭВ 6439-88) Концентрат молибденовый. Технические условия (с Изменениями N 1-6)" style="width:11.3pt;height:12.3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0E40E0" w:rsidTr="000E40E0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меди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328" type="#_x0000_t75" alt="ГОСТ 212-76 (СТ СЭВ 6439-88) Концентрат молибденовый. Технические условия (с Изменениями N 1-6)" style="width:17.75pt;height:14.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0E40E0" w:rsidTr="000E40E0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окиси натрия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09575" cy="218440"/>
                  <wp:effectExtent l="19050" t="0" r="9525" b="0"/>
                  <wp:docPr id="305" name="Рисунок 305" descr="ГОСТ 212-76 (СТ СЭВ 6439-88) Концентрат молибденовый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ГОСТ 212-76 (СТ СЭВ 6439-88) Концентрат молибденовый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739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0E40E0" w:rsidTr="000E40E0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вольфрамового ангидрида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330" type="#_x0000_t75" alt="ГОСТ 212-76 (СТ СЭВ 6439-88) Концентрат молибденовый. Технические условия (с Изменениями N 1-6)" style="width:27.4pt;height:17.7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739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0E40E0" w:rsidTr="000E40E0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сурьмы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331" type="#_x0000_t75" alt="ГОСТ 212-76 (СТ СЭВ 6439-88) Концентрат молибденовый. Технические условия (с Изменениями N 1-6)" style="width:15.6pt;height:14.5pt"/>
              </w:pict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739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</w:tbl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 Допускается по соглашению изготовителя с потребителем содержание меди в молибденовых концентратах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Агаракского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комбината марки КМФ-5 не более 0,8%, марки КМФ-6 не более 1,5%.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 Допускается по соглашению изготовителя с потребителем содержание в молибденовых концентратах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Балхашского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комбината марки КМФ-5 мышьяка не более 0,06%, олова не более 0,05%, фосфора не более 0,04%; марки КМФ-6 - мышьяка не более 0,07% и олова не более 0,07%.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 Допускается по соглашению изготовителя с потребителем содержание в молибденовых концентратах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Сорского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Зангезурского комбинатов марки КМФ-3 двуокиси кремния не более 6%.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Допускается по соглашению изготовителя с потребителем содержание вольфрамового ангидрида в гидрометаллургических концентратах марок КМГ-1 и КМГ-2 для производства ферромолибдена не более 3,5%.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2, 5).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Суммарное содержание влаги и масла в молибденовом концентрате всех марок не должно превышать 8%, в том числе масла - 4%.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по согласованию изготовителя с потребителем во флотационных концентратах, предназначенных для производства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ферромолибдена и во флотационных концентратах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Агаракского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Тырныаузского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комбинатов суммарное содержание влаги и масла не более 8%, в том числе влаги - не более 4%.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5, 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2.3. Суммарное содержание щелочных металлов (калия и натрия) в концентратах, используемых для производства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молибденовокислого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аммония, должно быть не более 0,4% в марках КМФ-2, КМФ-3, КМФ-5 и не более 0,5% в марке КМФ-6.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Суммарное содержание щелочных металлов (калия и натрия) в концентратах марок КМФ-5 и КМФ-6, изготавливаемых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Агаракским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комбинатом для производства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молибденовокислого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аммония, должно быть не более 0,8%.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5).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2.4. Массовая доля рения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флотоконцентратах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предназначенных для производства солей молибдена, определяется в каждой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2.5. В молибденовых концентратах наличие посторонних предметов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допускается.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2.4, 2.5.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5).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2а. ТРЕБОВАНИЯ БЕЗОПАСНОСТИ</w:t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2а.1. Соединения молибдена, фосфора и двуокись кремния, входящие в состав молибденового концентрата, обладают токсическими свойствами и относятся к вредным веществам. Класс опасности указан в табл.3 в соответствии с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ГОСТ 12.1.007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2а.2. Аэрозоли соединений молибдена и других вредных примесей, указанных в п.2а.1, проникают в организм через органы дыхания, слизистые оболочки, пищеварительный тракт. Длительное воздействие вредных примесей может вызвать функциональные расстройства нервной системы, изменения кровяного давления и нарушение обменных процессов.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2а.3. Предельно допустимые концентрации вредных веществ, входящих в молибденовый концентрат в воздухе рабочей среды по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в питьевой воде по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ГОСТ 2874</w:t>
      </w:r>
      <w:r>
        <w:rPr>
          <w:rFonts w:ascii="Arial" w:hAnsi="Arial" w:cs="Arial"/>
          <w:color w:val="2D2D2D"/>
          <w:spacing w:val="1"/>
          <w:sz w:val="15"/>
          <w:szCs w:val="15"/>
        </w:rPr>
        <w:t>, указаны в табл.3.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6"/>
        <w:gridCol w:w="2575"/>
        <w:gridCol w:w="2562"/>
        <w:gridCol w:w="2736"/>
      </w:tblGrid>
      <w:tr w:rsidR="000E40E0" w:rsidTr="000E40E0">
        <w:trPr>
          <w:trHeight w:val="15"/>
        </w:trPr>
        <w:tc>
          <w:tcPr>
            <w:tcW w:w="2772" w:type="dxa"/>
            <w:hideMark/>
          </w:tcPr>
          <w:p w:rsidR="000E40E0" w:rsidRDefault="000E40E0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0E40E0" w:rsidRDefault="000E40E0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0E40E0" w:rsidRDefault="000E40E0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0E40E0" w:rsidRDefault="000E40E0">
            <w:pPr>
              <w:rPr>
                <w:sz w:val="2"/>
                <w:szCs w:val="24"/>
              </w:rPr>
            </w:pPr>
          </w:p>
        </w:tc>
      </w:tr>
      <w:tr w:rsidR="000E40E0" w:rsidTr="000E40E0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вещества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Класс опасности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Предельно допустимые концентрации</w:t>
            </w:r>
          </w:p>
        </w:tc>
      </w:tr>
      <w:tr w:rsidR="000E40E0" w:rsidTr="000E40E0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воздухе рабочей зоны, мг/м</w:t>
            </w:r>
            <w:r>
              <w:rPr>
                <w:color w:val="2D2D2D"/>
                <w:sz w:val="15"/>
                <w:szCs w:val="15"/>
              </w:rPr>
              <w:pict>
                <v:shape id="_x0000_i1332" type="#_x0000_t75" alt="ГОСТ 212-76 (СТ СЭВ 6439-88) Концентрат молибденовый. Технические условия (с Изменениями N 1-6)" style="width:8.05pt;height:17.2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питьевой воде, мг/л</w:t>
            </w:r>
          </w:p>
        </w:tc>
      </w:tr>
      <w:tr w:rsidR="000E40E0" w:rsidTr="000E40E0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Молибден, нерастворимые соединения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</w:tr>
      <w:tr w:rsidR="000E40E0" w:rsidTr="000E40E0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Фосфорит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0E40E0" w:rsidTr="000E40E0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Двуокись кремния кристаллическая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E40E0" w:rsidRDefault="000E40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2а.4.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Контроль за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содержанием вредных веществ в воздухе рабочей зоны по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ГОСТ 12.1.007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ГОСТ 12.1.016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Анализ проб воздуха рабочей зоны на содержание в пыли соединений, указанных в п.2а.1, должен производиться в соответствии с методами определения вредных веществ в воздухе. Анализ питьевой воды должен производиться по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ГОСТ 18308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 5. Уборка пыли молибденового концентрата в складских и производственных помещениях должна производиться мокрым способом в соответствии с санитарными правилами по устройству, оборудованию и содержанию обогатительных фабрик для руд черных и цветных металлов, утвержденными Министерством здравоохранения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Утилизация пыли молибденового концентрата должна осуществляться добавлением ее к основной массе концентрата с предварительным увлажнением.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2а.6. Погрузочно-разгрузочные работы должны производиться в соответствии с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ГОСТ 12.3.009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2а.7. Соединения молибдена, фосфора, входящие в состав молибденового концентрата, при нагревании способны образовывать токсичные соединения, которые относятся к 3 и 4 классам опасности.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2а.8. Молибденовый концентрат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пожаровзрывобезопасен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2а.9. С целью обеспечения нормальных условий труда при работе с молибденовым концентратом должны проводиться профилактические мероприятия в соответствии с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ГОСТ 12.1.007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2а.10. Средства коллективной защиты - нормализация воздушной среды производственных помещений и рабочих мест по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ГОСТ 12.4.011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Помещения, в которых производятся работы с молибденовым концентратом, включая отбор, приготовление и испытание проб, должны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быть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оборудованы приточно-вытяжной вентиляцией по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ГОСТ 12.4.021</w:t>
      </w:r>
      <w:r>
        <w:rPr>
          <w:rFonts w:ascii="Arial" w:hAnsi="Arial" w:cs="Arial"/>
          <w:color w:val="2D2D2D"/>
          <w:spacing w:val="1"/>
          <w:sz w:val="15"/>
          <w:szCs w:val="15"/>
        </w:rPr>
        <w:t>, обеспечивающей санитарно-гигиеническое состояние воздуха рабочей зоны по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2а.11. Работающие с молибденовым концентратом должны обеспечиваться бытовыми помещениями согласно существующей нормативно-технической документации.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2а.12. Средства индивидуальной защиты: защита органов дыхания по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ГОСТ 12.4.028</w:t>
      </w:r>
      <w:r>
        <w:rPr>
          <w:rFonts w:ascii="Arial" w:hAnsi="Arial" w:cs="Arial"/>
          <w:color w:val="2D2D2D"/>
          <w:spacing w:val="1"/>
          <w:sz w:val="15"/>
          <w:szCs w:val="15"/>
        </w:rPr>
        <w:t> и специальная одежда по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ГОСТ 12.4.103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Работающие с молибденовым концентратом должны обеспечиваться средствами индивидуальной защиты согласно типовым отраслевым нормам выдачи спецодежды и предохранительных приспособлений рабочим и служащим, утвержденным Государственным комитетом СССР по труду и заработной плате.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2а.13. Работающие с молибденовым концентратом должны соблюдать правила личной гигиены в соответствии с санитарными правилами, указанными в п.2а.5.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2а.14. К работе с молибденовым концентратом должны допускаться лица не моложе 18 лет.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Поступающие на работу, а также работающие с молибденовым концентратом должны проходить предварительные и периодические медицинские осмотры согласно действующей нормативно-технической документации;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предварительное обучение безопасным методам работы с молибденовым концентратом и правилам обращения с защитными средствами и оформлением в установленном порядке, согласно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ГОСТ 12.0.004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2а.15. На методы испытаний молибденового концентрата распространяются требования, изложенные в основных правилах безопасной работы в химической лаборатории*, утвержденных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Минхимпромом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ПНД Ф 12.13.1-03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Разд.2а.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ПРАВИЛА ПРИЕМКИ</w:t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Правила приемки молибденового концентрата - по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ГОСТ 14180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 следующими дополнениями: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молибденовый концентрат принимают партиями. Партией считают количество молибденового концентрата массой не более 60 т одной марки, оформленное одним документом о качестве, в котором должны быть указаны: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организации, в систему которой входит предприятие-поставщик;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предприятия-поставщика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и марка концентрата;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 и количество грузовых мест;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брутто и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содержание молибдена и элементов-примесей, в том числе рения, содержание влаги и масла в концентрате, суммарное и раздельное, а также содержание свинца, висмута, цинка в концентратах марок КМФ-2, КМФ-3, КМФ-5 и КМФ-6;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основного компонента;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партии в пересчете на концентрат с содержанием 51% молибдена;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дата отгрузки;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содержания железа и углерода в концентратах марок КМФ-5 и КМФ-6 - по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ГОСТ 2082.13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ГОСТ 2082.15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предназначенных для производства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молибденовокислого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аммония производится поставщиком не реже, чем в каждой 10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2, 5).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3.2а. В молибденовых концентратах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Сорского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комбината определение массовых долей олова, фосфора, висмута и мышьяка производится поставщиком в каждой 50-й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5).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3.2б. В молибденовых концентратах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Жирекенского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комбината для производства ферромолибдена массовые доли олова, фосфора, мышьяка и висмута определяют в каждой 50-й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Для проверки качества молибденового концентрата, упакованного в мешки, от партии отбирают каждый сотый мешок, но не менее 10 мешков; при транспортировании в контейнерах - отбирают пробу из каждого контейнера.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При получении неудовлетворительных результатов испытаний хотя бы по одному из показателей, по нему проводят повторные испытания на удвоенной выборке или на удвоенной пробе. Результаты повторных испытаний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3.2, 3.3.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МЕТОДЫ ИСПЫТАНИЙ</w:t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Отбор и подготовка проб для лабораторных испытаний - по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ГОСТ 14180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Методы испытаний молибденового концентрата - по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ГОСТ 2082.0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ГОСТ 2082.17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другими методами, не уступающими им по точности; при разногласиях в оценке качества молибденовых концентратов испытания проводят по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ГОСТ 2082.0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ГОСТ 2082.17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5).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УПАКОВКА, МАРКИРОВКА, ТРАНСПОРТИРОВАНИЕ И ХРАНЕНИЕ</w:t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5.1. Молибденовые концентраты и упаковывают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резинокордовые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контейнеры или в специализированные контейнеры типа СК массой брутто до 5 т, изготовленные по нормативно-технической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Флотационные концентраты всех марок допускается упаковывать в двойные мешки: внутренний - полиэтиленовый или бумажный четырехслойный марок НМ и ПМ по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ГОСТ 2226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внешний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льно-джуто-кенафный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ГОСТ 30090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полипропиленовый, или из другой синтетической ткани.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Тип контейнера и его грузоподъемность определяются по согласованию изготовителя с потребителем.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Молибденовый концентрат, предназначенный для длительного хранения, упаковывается в мешки массой 50 кг или в контейнеры, при этом контейнеры должны быть загружены полностью.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Транспортная маркировка грузов - по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изображением манипуляционного знака: "Беречь от влаги".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контейнеры с концентратом, предназначенным для длительного хранения, маркировка должна быть нанесена непосредственно на тару.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 На каждый контейнер или мешок должны быть нанесены дополнительные надписи: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товарный знак и наименование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марки концентрата;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дата выпуска;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 Молибденовый концентрат в контейнерах транспортируется железнодорожным транспортом на открытом подвижном составе или автотранспортом. Размещение и крепление контейнеров должно производиться в соответствии с правилами погрузки и крепления грузов, действующими на транспорте данного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Молибденовый концентрат в мешках должен транспортироваться в универсальных контейнерах или транспортными пакетами по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ГОСТ 26663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Погрузка вагонов должна производиться с учетом полного использования грузоподъемности вагонов.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транспортировании молибденового концентрата пакетами должны быть использованы поддоны по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ГОСТ 9078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Крепление груза - по </w:t>
      </w:r>
      <w:r w:rsidRPr="000E40E0">
        <w:rPr>
          <w:rFonts w:ascii="Arial" w:hAnsi="Arial" w:cs="Arial"/>
          <w:color w:val="2D2D2D"/>
          <w:spacing w:val="1"/>
          <w:sz w:val="15"/>
          <w:szCs w:val="15"/>
        </w:rPr>
        <w:t>ГОСТ 21650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5, 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E40E0" w:rsidRDefault="000E40E0" w:rsidP="000E40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5.6. Молибденовый концентрат должен храниться в закрытых складских помещениях в упакованном виде раздельно по маркам.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0E40E0" w:rsidRDefault="00177C25" w:rsidP="000E40E0">
      <w:pPr>
        <w:rPr>
          <w:szCs w:val="15"/>
        </w:rPr>
      </w:pPr>
    </w:p>
    <w:sectPr w:rsidR="00177C25" w:rsidRPr="000E40E0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695D09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D0752A"/>
    <w:multiLevelType w:val="multilevel"/>
    <w:tmpl w:val="56B8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EC2D1F"/>
    <w:multiLevelType w:val="multilevel"/>
    <w:tmpl w:val="4FEE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0F6599"/>
    <w:multiLevelType w:val="multilevel"/>
    <w:tmpl w:val="B4F8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07066F"/>
    <w:multiLevelType w:val="multilevel"/>
    <w:tmpl w:val="0B34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5C72DD"/>
    <w:multiLevelType w:val="multilevel"/>
    <w:tmpl w:val="A698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3A121A"/>
    <w:multiLevelType w:val="multilevel"/>
    <w:tmpl w:val="5564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A51EDA"/>
    <w:multiLevelType w:val="multilevel"/>
    <w:tmpl w:val="6DD0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9408C"/>
    <w:multiLevelType w:val="multilevel"/>
    <w:tmpl w:val="E52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1310C"/>
    <w:multiLevelType w:val="multilevel"/>
    <w:tmpl w:val="CC84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B376AD"/>
    <w:multiLevelType w:val="multilevel"/>
    <w:tmpl w:val="216E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F2606"/>
    <w:multiLevelType w:val="multilevel"/>
    <w:tmpl w:val="C12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FA585D"/>
    <w:multiLevelType w:val="multilevel"/>
    <w:tmpl w:val="7C42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260E8"/>
    <w:multiLevelType w:val="multilevel"/>
    <w:tmpl w:val="DC7C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8F6884"/>
    <w:multiLevelType w:val="multilevel"/>
    <w:tmpl w:val="DF48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186667"/>
    <w:multiLevelType w:val="multilevel"/>
    <w:tmpl w:val="844C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0C40AA"/>
    <w:multiLevelType w:val="multilevel"/>
    <w:tmpl w:val="131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7D37DB"/>
    <w:multiLevelType w:val="multilevel"/>
    <w:tmpl w:val="21D2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DE3507"/>
    <w:multiLevelType w:val="multilevel"/>
    <w:tmpl w:val="3820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CD53F8"/>
    <w:multiLevelType w:val="multilevel"/>
    <w:tmpl w:val="10C4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1F6CF6"/>
    <w:multiLevelType w:val="multilevel"/>
    <w:tmpl w:val="E67A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9278BB"/>
    <w:multiLevelType w:val="multilevel"/>
    <w:tmpl w:val="045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232551"/>
    <w:multiLevelType w:val="multilevel"/>
    <w:tmpl w:val="97C2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A07C0F"/>
    <w:multiLevelType w:val="multilevel"/>
    <w:tmpl w:val="2D96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632ACA"/>
    <w:multiLevelType w:val="multilevel"/>
    <w:tmpl w:val="8166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38"/>
  </w:num>
  <w:num w:numId="3">
    <w:abstractNumId w:val="39"/>
  </w:num>
  <w:num w:numId="4">
    <w:abstractNumId w:val="4"/>
  </w:num>
  <w:num w:numId="5">
    <w:abstractNumId w:val="26"/>
  </w:num>
  <w:num w:numId="6">
    <w:abstractNumId w:val="21"/>
  </w:num>
  <w:num w:numId="7">
    <w:abstractNumId w:val="20"/>
  </w:num>
  <w:num w:numId="8">
    <w:abstractNumId w:val="5"/>
  </w:num>
  <w:num w:numId="9">
    <w:abstractNumId w:val="32"/>
  </w:num>
  <w:num w:numId="10">
    <w:abstractNumId w:val="14"/>
  </w:num>
  <w:num w:numId="11">
    <w:abstractNumId w:val="15"/>
  </w:num>
  <w:num w:numId="12">
    <w:abstractNumId w:val="17"/>
  </w:num>
  <w:num w:numId="13">
    <w:abstractNumId w:val="29"/>
  </w:num>
  <w:num w:numId="14">
    <w:abstractNumId w:val="16"/>
  </w:num>
  <w:num w:numId="15">
    <w:abstractNumId w:val="3"/>
  </w:num>
  <w:num w:numId="16">
    <w:abstractNumId w:val="35"/>
  </w:num>
  <w:num w:numId="17">
    <w:abstractNumId w:val="0"/>
  </w:num>
  <w:num w:numId="18">
    <w:abstractNumId w:val="1"/>
  </w:num>
  <w:num w:numId="19">
    <w:abstractNumId w:val="2"/>
  </w:num>
  <w:num w:numId="20">
    <w:abstractNumId w:val="25"/>
  </w:num>
  <w:num w:numId="21">
    <w:abstractNumId w:val="10"/>
  </w:num>
  <w:num w:numId="22">
    <w:abstractNumId w:val="13"/>
  </w:num>
  <w:num w:numId="23">
    <w:abstractNumId w:val="8"/>
  </w:num>
  <w:num w:numId="24">
    <w:abstractNumId w:val="27"/>
  </w:num>
  <w:num w:numId="25">
    <w:abstractNumId w:val="24"/>
  </w:num>
  <w:num w:numId="26">
    <w:abstractNumId w:val="33"/>
  </w:num>
  <w:num w:numId="27">
    <w:abstractNumId w:val="36"/>
  </w:num>
  <w:num w:numId="28">
    <w:abstractNumId w:val="28"/>
  </w:num>
  <w:num w:numId="29">
    <w:abstractNumId w:val="22"/>
  </w:num>
  <w:num w:numId="30">
    <w:abstractNumId w:val="19"/>
  </w:num>
  <w:num w:numId="31">
    <w:abstractNumId w:val="37"/>
  </w:num>
  <w:num w:numId="32">
    <w:abstractNumId w:val="6"/>
  </w:num>
  <w:num w:numId="33">
    <w:abstractNumId w:val="11"/>
  </w:num>
  <w:num w:numId="34">
    <w:abstractNumId w:val="12"/>
  </w:num>
  <w:num w:numId="35">
    <w:abstractNumId w:val="9"/>
  </w:num>
  <w:num w:numId="36">
    <w:abstractNumId w:val="34"/>
  </w:num>
  <w:num w:numId="37">
    <w:abstractNumId w:val="42"/>
  </w:num>
  <w:num w:numId="38">
    <w:abstractNumId w:val="31"/>
  </w:num>
  <w:num w:numId="39">
    <w:abstractNumId w:val="23"/>
  </w:num>
  <w:num w:numId="40">
    <w:abstractNumId w:val="18"/>
  </w:num>
  <w:num w:numId="41">
    <w:abstractNumId w:val="7"/>
  </w:num>
  <w:num w:numId="42">
    <w:abstractNumId w:val="30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0E40E0"/>
    <w:rsid w:val="00144A40"/>
    <w:rsid w:val="00153F83"/>
    <w:rsid w:val="001741CA"/>
    <w:rsid w:val="00177C25"/>
    <w:rsid w:val="002D3ACA"/>
    <w:rsid w:val="00313072"/>
    <w:rsid w:val="00362C0C"/>
    <w:rsid w:val="003B6A31"/>
    <w:rsid w:val="003D53F9"/>
    <w:rsid w:val="003F7A45"/>
    <w:rsid w:val="00477A04"/>
    <w:rsid w:val="0059308D"/>
    <w:rsid w:val="00630B0C"/>
    <w:rsid w:val="00695D09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188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556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6449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488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6045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0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52839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1986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442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081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09454915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7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0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5962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0214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8803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0596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232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5935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176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77097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0977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4276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0019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5903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3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7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5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4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226233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737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457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15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890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715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0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53782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168432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5593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61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870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71423220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1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26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8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7344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4142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869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9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5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0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17727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327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103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0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951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335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281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046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07082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0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58252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17071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709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1345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892039053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1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26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73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60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25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4809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630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1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24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508982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665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470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2017-08-14T08:57:00Z</dcterms:created>
  <dcterms:modified xsi:type="dcterms:W3CDTF">2017-08-14T08:57:00Z</dcterms:modified>
</cp:coreProperties>
</file>