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7B" w:rsidRDefault="00F8027B" w:rsidP="00F8027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20996.0-82 Селен технический. Общие требования к методам анализа (с Изменением N 1)</w:t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20996.0-82*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В59</w:t>
      </w:r>
    </w:p>
    <w:p w:rsidR="00F8027B" w:rsidRDefault="00F8027B" w:rsidP="00F802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F8027B" w:rsidRDefault="00F8027B" w:rsidP="00F802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СЕЛЕН ТЕХНИЧЕСКИЙ</w:t>
      </w:r>
    </w:p>
    <w:p w:rsidR="00F8027B" w:rsidRDefault="00F8027B" w:rsidP="00F802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Общие требования к методам анализа</w:t>
      </w:r>
    </w:p>
    <w:p w:rsidR="00F8027B" w:rsidRPr="00F8027B" w:rsidRDefault="00F8027B" w:rsidP="00F8027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Selenium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r w:rsidRPr="00F8027B">
        <w:rPr>
          <w:rFonts w:ascii="Arial" w:hAnsi="Arial" w:cs="Arial"/>
          <w:color w:val="3C3C3C"/>
          <w:spacing w:val="1"/>
          <w:sz w:val="22"/>
          <w:szCs w:val="22"/>
          <w:lang w:val="en-US"/>
        </w:rPr>
        <w:t>General requirements for methods of analyses</w:t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F8027B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ОКСТУ 1709</w:t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1983-07-01</w:t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Постановлением Государственного комитета СССР по стандартам от 22 июня 1982 г. N 2481 дата введения установлена 01.07.83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 по протоколу N 7-95 Межгосударственного Совета по стандартизации, метрологии и сертификации (ИУС 11-95)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ВЗАМЕН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20996.0-75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ИЗДАНИЕ (май 2000 г.) с Изменением N 1, утвержденным в декабре 1987 г. (ИУС 3-88)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Настоящий стандарт устанавливает общие требования к методам анализа технического селена и требования безопасности при выполнении анализов.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Отбор и подготовку проб селена для анализа проводят по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10298-79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Массовую долю селена, железа и алюминия определяют параллельно в трех навесках, массовую долю остальных примесей - в двух навесках.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Одновременно с проведением анализа при определении примесей в техническом селене в тех же условиях проводят два контрольных опыта соответствующими методами анализа для внесения в результат поправки на загрязнение реактивов, вычитая значение контрольного опыта из результата определения компонента при анализе пробы или проведением определения по отношению к контрольному опыту.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За результат анализа принимают среднее арифметическое результатов параллельных определений, максимальное расхождение между которыми не превышает значений допускаемых расхождений, указанных в соответствующих стандартах на методы анализа для соответствующих диапазонов массовых долей определяемых компонентов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alt="ГОСТ 20996.0-82 Селен технический. Общие требования к методам анализа (с Изменением N 1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Если расхождения результатов параллельных определений превышают допускаемую величину, определение необходимо повторить. Численные значения результатов анализа должны содержать последнюю значащую цифру в том же разряде, в котором стоит последняя значащая цифра численного значения допустимого расхождения результатов определения.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4, 5.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Взвешивание анализируемой пробы, осадков в ходе анализа, исходных веществ, используемых для приготовления стандартных и титрованных растворов, необходимо проводить с погрешностью не более 0,0002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Для проведения анализов и приготовления растворов реактивов используют дистиллированную воду по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реактивы квалификации не ниже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.д.а., если в стандартах не оговорена другая степень чистоты.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В выражении "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разбавленная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1:1, 1:2" и т.д. первые цифры означают объемные части кислоты или какого-либо раствора, вторые - объемные части вещества, используемого для разбавления. Если разбавление не указано, то следует иметь в виду концентрированные кислоты или аммиак.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 Выражение "горячая вода (раствор)" означает, что жидкость имеет температуру 70-90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"теплая вода (или раствор)" - температуру 40-70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10. Лабораторные измерительные средства (пипетки, бюретки, мерные колбы и др.) должны соответствовать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другим нормативным документам.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11. При фотометрических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атомно-абсорбционном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определениях необходимо строить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графики, на оси абсцисс которых откладывается значение массовой доли определяемого компонента, а на оси ординат - оптическая плотность соответствующих растворов.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графиков требуется не менее пяти точек, которые должны быть равномерно распределены по диапазону измерений, при этом максимальное и минимальное значения измерений устанавливают пределы диапазона измерений.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12. Титр растворов устанавливают не менее чем из трех навесок исходного вещества, выражают в граммах вещества на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20996.0-82 Селен технический. Общие требования к методам анализа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и рассчитывают с точностью не менее чем до третьей значащей цифры, контролируют не реже одного раза в месяц.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13. Для приготовления стандартных растворов применяют металлы, содержащие основного компонента не менее 99,9%, или их окислы, или азотнокислые, углекислые соли. Способ приготовления стандартных растворов - по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14. Контроль правильности результатов анализа осуществляют при помощи стандартных образцов состава технического селена или методом добавок.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использовании стандартных образцов результаты анализа считаются правильными, если выполняется соотношение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14755" cy="238760"/>
            <wp:effectExtent l="19050" t="0" r="4445" b="0"/>
            <wp:docPr id="47" name="Рисунок 47" descr="ГОСТ 20996.0-82 Селен технический. Общие требования к методам анализа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20996.0-82 Селен технический. Общие требования к методам анализа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20996.0-82 Селен технический. Общие требования к методам анализа (с Изменением N 1)" style="width:14.5pt;height:15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среднее арифметическое воспроизведенной величины массовой доли,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20996.0-82 Селен технический. Общие требования к методам анализа (с Изменением N 1)" style="width:26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аттестованная характеристика массовой доли компонента в техническом селене,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20996.0-82 Селен технический. Общие требования к методам анализа (с Изменением N 1)" style="width:23.1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допустимое расхождение результатов параллельных определений,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использовании метода добавок добавка должна в 2-3 раза превышать массовую концентрацию определяемой примеси в пробе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20996.0-82 Селен технический. Общие требования к методам анализа (с Изменением N 1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а при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218440"/>
            <wp:effectExtent l="19050" t="0" r="6350" b="0"/>
            <wp:docPr id="52" name="Рисунок 52" descr="ГОСТ 20996.0-82 Селен технический. Общие требования к методам анализа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20996.0-82 Селен технический. Общие требования к методам анализа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если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20996.0-82 Селен технический. Общие требования к методам анализа (с Изменением N 1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нижний предел определяемых концентраций, добавка должна в 2-3 раза превышать значение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20996.0-82 Селен технический. Общие требования к методам анализа (с Изменением N 1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 считаются правильными, если выполняется соотношение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69720" cy="280035"/>
            <wp:effectExtent l="19050" t="0" r="0" b="0"/>
            <wp:docPr id="55" name="Рисунок 55" descr="ГОСТ 20996.0-82 Селен технический. Общие требования к методам анализа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20996.0-82 Селен технический. Общие требования к методам анализа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20996.0-82 Селен технический. Общие требования к методам анализа (с Изменением N 1)" style="width:14.5pt;height:15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среднее арифметическое воспроизведенной величины массовой доли добавки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20996.0-82 Селен технический. Общие требования к методам анализа (с Изменением N 1)" style="width:27.4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массовая доля добавки,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20996.0-82 Селен технический. Общие требования к методам анализа (с Изменением N 1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20996.0-82 Селен технический. Общие требования к методам анализа (с Изменением N 1)" style="width:18.8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допустимые расхождения результатов параллельных анализов компонента в пробе и в пробе с добавкой,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Периодичность проведения контроля правильности результатов анализа - по нормативному документу.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11-14.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15. Требования безопасности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15.1. Размещение и хранение химических реактивов, проб селена и прочих материалов, применяемых в анализах и обладающих опасными и вредными свойствами, а также их использование должны соответствовать нормативным документам на их изготовление и применение.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15.2. Пробы технического селена, поступающие на анализ, следует хранить в пакетах из плотной бумаги по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2228-81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 стаканчиках для взвешивания по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в специальном шкафу или боксе, оборудованном вентиляционными системами по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12.4.021-75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15.1, 15.2.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15.3. Лабораторные помещения, в которых выполняется химический анализ технического селена, должны быть оборудованы вентиляционными системами по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12.4.021-75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обеспечивающими чистоту воздуха рабочей зоны в соответствии с требованиями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15.4. Лабораторные помещения, в которых выполняется работа по анализу химического состава технического селена, должны быть обеспечены огнетушителями ОХП-10 и ОУ-8 по НД.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15.5. Все операции химического анализа (растворение пробы, осаждение, экстракция и т.д.), связанные с выделением ядовитых паров или газов, должны проводиться в боксах, оборудованных местным отсасывающим устройством.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15.6. При проведении анализа технического селена в воздух рабочей зоны могут выделяться вредные вещества, предельно допустимые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концентрации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которых не должны превышать концентраций, указанных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7"/>
        <w:gridCol w:w="2432"/>
        <w:gridCol w:w="3930"/>
      </w:tblGrid>
      <w:tr w:rsidR="00F8027B" w:rsidTr="00F8027B">
        <w:trPr>
          <w:trHeight w:val="15"/>
        </w:trPr>
        <w:tc>
          <w:tcPr>
            <w:tcW w:w="4435" w:type="dxa"/>
            <w:hideMark/>
          </w:tcPr>
          <w:p w:rsidR="00F8027B" w:rsidRDefault="00F8027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8027B" w:rsidRDefault="00F8027B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F8027B" w:rsidRDefault="00F8027B">
            <w:pPr>
              <w:rPr>
                <w:sz w:val="2"/>
                <w:szCs w:val="24"/>
              </w:rPr>
            </w:pPr>
          </w:p>
        </w:tc>
      </w:tr>
      <w:tr w:rsidR="00F8027B" w:rsidTr="00F8027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вредного вещества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 опасности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F8027B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Предельно допустимая концентрация, мг/м</w:t>
            </w:r>
            <w:r>
              <w:rPr>
                <w:color w:val="2D2D2D"/>
                <w:sz w:val="15"/>
                <w:szCs w:val="15"/>
              </w:rPr>
              <w:pict>
                <v:shape id="_x0000_i1084" type="#_x0000_t75" alt="ГОСТ 20996.0-82 Селен технический. Общие требования к методам анализа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по </w:t>
            </w:r>
            <w:r w:rsidRPr="00F8027B">
              <w:rPr>
                <w:color w:val="2D2D2D"/>
                <w:sz w:val="15"/>
                <w:szCs w:val="15"/>
              </w:rPr>
              <w:t>ГОСТ 12.1.005-88</w:t>
            </w:r>
          </w:p>
        </w:tc>
      </w:tr>
      <w:tr w:rsidR="00F8027B" w:rsidTr="00F8027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Азота окислы в пересчете на NO</w:t>
            </w:r>
            <w:r>
              <w:rPr>
                <w:color w:val="2D2D2D"/>
                <w:sz w:val="15"/>
                <w:szCs w:val="15"/>
              </w:rPr>
              <w:pict>
                <v:shape id="_x0000_i1085" type="#_x0000_t75" alt="ГОСТ 20996.0-82 Селен технический. Общие требования к методам анализа (с Изменением N 1)" style="width:8.05pt;height:17.2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F8027B" w:rsidTr="00F8027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Аммиак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F8027B" w:rsidTr="00F8027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Ангидрид серный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F8027B" w:rsidTr="00F8027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Ангидрид сернистый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F8027B" w:rsidTr="00F8027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Диэтиловый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эфир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</w:tr>
      <w:tr w:rsidR="00F8027B" w:rsidTr="00F8027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F8027B" w:rsidTr="00F8027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Кислота серная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F8027B" w:rsidTr="00F8027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Кислота соляная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F8027B" w:rsidTr="00F8027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Кислота уксусная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F8027B" w:rsidTr="00F8027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Спирт этиловый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</w:tr>
      <w:tr w:rsidR="00F8027B" w:rsidTr="00F8027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Толуол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F8027B" w:rsidTr="00F8027B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Углерод четыреххлористый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8027B" w:rsidRDefault="00F802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</w:tbl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15.7.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содержанием вредных веществ в воздухе рабочей зоны осуществляют по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15.8. Рабочие места для выполнения анализов должны соответствовать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12.2.032-78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12.2.033-78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15.9. При работе с токсичными, едкими,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взрывоопасными реактивами следует соблюдать требования безопасности, изложенные в нормативных документах.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15.10. При работе с вредными и ядовитыми веществами необходимо применять средства защиты по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12.4.011-89</w:t>
      </w:r>
      <w:r>
        <w:rPr>
          <w:rFonts w:ascii="Arial" w:hAnsi="Arial" w:cs="Arial"/>
          <w:color w:val="2D2D2D"/>
          <w:spacing w:val="1"/>
          <w:sz w:val="15"/>
          <w:szCs w:val="15"/>
        </w:rPr>
        <w:t>, индивидуальные средства защиты (респираторы по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12.4.004-74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12.4.028-76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резиновые перчатки по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12.4.103-83</w:t>
      </w:r>
      <w:r>
        <w:rPr>
          <w:rFonts w:ascii="Arial" w:hAnsi="Arial" w:cs="Arial"/>
          <w:color w:val="2D2D2D"/>
          <w:spacing w:val="1"/>
          <w:sz w:val="15"/>
          <w:szCs w:val="15"/>
        </w:rPr>
        <w:t>, одежду по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27654-88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29058-91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15.11. Спецодежда должна использоваться согласно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 xml:space="preserve">инструкции о порядке выдачи, хранения и пользования спецодеждой, </w:t>
      </w:r>
      <w:proofErr w:type="spellStart"/>
      <w:r w:rsidRPr="00F8027B">
        <w:rPr>
          <w:rFonts w:ascii="Arial" w:hAnsi="Arial" w:cs="Arial"/>
          <w:color w:val="2D2D2D"/>
          <w:spacing w:val="1"/>
          <w:sz w:val="15"/>
          <w:szCs w:val="15"/>
        </w:rPr>
        <w:t>спецобувью</w:t>
      </w:r>
      <w:proofErr w:type="spellEnd"/>
      <w:r w:rsidRPr="00F8027B">
        <w:rPr>
          <w:rFonts w:ascii="Arial" w:hAnsi="Arial" w:cs="Arial"/>
          <w:color w:val="2D2D2D"/>
          <w:spacing w:val="1"/>
          <w:sz w:val="15"/>
          <w:szCs w:val="15"/>
        </w:rPr>
        <w:t xml:space="preserve"> и предохранительными приспособлениями</w:t>
      </w:r>
      <w:r>
        <w:rPr>
          <w:rFonts w:ascii="Arial" w:hAnsi="Arial" w:cs="Arial"/>
          <w:color w:val="2D2D2D"/>
          <w:spacing w:val="1"/>
          <w:sz w:val="15"/>
          <w:szCs w:val="15"/>
        </w:rPr>
        <w:t>*, утвержденной Госкомитетом СССР по труду и социальным вопросам.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 Действуют "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Правила обеспечения работников специальной одеждой, специальной обувью и другими средствами индивидуальной защиты</w:t>
      </w:r>
      <w:r>
        <w:rPr>
          <w:rFonts w:ascii="Arial" w:hAnsi="Arial" w:cs="Arial"/>
          <w:color w:val="2D2D2D"/>
          <w:spacing w:val="1"/>
          <w:sz w:val="15"/>
          <w:szCs w:val="15"/>
        </w:rPr>
        <w:t>", утвержденные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постановлением Минтруда от 18.12.98 N 51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15.12. При утилизации, удалении и обезвреживании отходов производства анализов необходимо руководствоваться правилами безопасной работы в химической лаборатории и нормативными документами, согласованными с санитарно-эпидемиологической службой Министерства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15.13. При работе с газовыми установками следует руководствоваться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12.2.008-75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правилами безопасности в газовом хозяйстве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утвержденными Госгортехнадзором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15.14. Все электроприборы и электроустановки в лаборатории должны соответствовать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правилам устройства электроустановок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утвержденным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Госэнергонадзором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Эксплуатация электроприборов и электроустановок, используемых в процессе анализа, должна проводиться в соответствии с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правилами технической эксплуатации электроустановок потребителей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правилами техники безопасности при эксплуатации электроустановок потребителей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*, утвержденными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Госэнергонадзором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СССР, и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12.1.019-79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12.2.007.0-75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* На территории Российской Федерации действуют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 xml:space="preserve">"Межотраслевые Правила по охране труда (правила безопасности) при эксплуатации электроустановок" (ПОТ </w:t>
      </w:r>
      <w:proofErr w:type="gramStart"/>
      <w:r w:rsidRPr="00F802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8027B">
        <w:rPr>
          <w:rFonts w:ascii="Arial" w:hAnsi="Arial" w:cs="Arial"/>
          <w:color w:val="2D2D2D"/>
          <w:spacing w:val="1"/>
          <w:sz w:val="15"/>
          <w:szCs w:val="15"/>
        </w:rPr>
        <w:t xml:space="preserve"> М-016-2001, РД 153-34.0-03.150-00)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утвержденные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постановлением Министерства труда и социального развития Российской Федерации от 5 января 2001 г. N 3</w: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приказом Министерства энергетики Российской Федерации от 27 декабря 2000 г. N 163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15.15.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Работающие в химической лаборатории должны быть обеспечены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спецжирами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согласно "Правилам бесплатной выдачи молока или других равноценных пищевых продуктов рабочим и служащим, занятым в производствах, цехах, на участках и в других подразделениях с вредными условиями труда"*, утвержденным Госкомитетом СССР по труду и социальным вопросам.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действуют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"Нормы и условия бесплатной выдачи молока или других равноценных пищевых продуктов работникам, занятым на работах с вредными условиями труда"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утвержденные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постановлением Минтруда России от 31 марта 2003 года N 13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8027B" w:rsidRDefault="00F8027B" w:rsidP="00F802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15.16. На работу в химические и спектральные лаборатории допускаются лица, обученные требованиям безопасной работы в лабораториях по </w:t>
      </w:r>
      <w:r w:rsidRPr="00F8027B">
        <w:rPr>
          <w:rFonts w:ascii="Arial" w:hAnsi="Arial" w:cs="Arial"/>
          <w:color w:val="2D2D2D"/>
          <w:spacing w:val="1"/>
          <w:sz w:val="15"/>
          <w:szCs w:val="15"/>
        </w:rPr>
        <w:t>ГОСТ 12.0.004-90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F8027B" w:rsidRDefault="00177C25" w:rsidP="00F8027B">
      <w:pPr>
        <w:rPr>
          <w:szCs w:val="15"/>
        </w:rPr>
      </w:pPr>
    </w:p>
    <w:sectPr w:rsidR="00177C25" w:rsidRPr="00F8027B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7611A3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643553"/>
    <w:multiLevelType w:val="multilevel"/>
    <w:tmpl w:val="DF485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556F63"/>
    <w:multiLevelType w:val="multilevel"/>
    <w:tmpl w:val="FFB8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2C70F8"/>
    <w:multiLevelType w:val="multilevel"/>
    <w:tmpl w:val="471EB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DC6673"/>
    <w:multiLevelType w:val="multilevel"/>
    <w:tmpl w:val="423E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E4112F"/>
    <w:multiLevelType w:val="multilevel"/>
    <w:tmpl w:val="F1223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3534B"/>
    <w:multiLevelType w:val="multilevel"/>
    <w:tmpl w:val="7BEE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95976"/>
    <w:multiLevelType w:val="multilevel"/>
    <w:tmpl w:val="7D3E1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D1731A"/>
    <w:multiLevelType w:val="multilevel"/>
    <w:tmpl w:val="D692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760223"/>
    <w:multiLevelType w:val="multilevel"/>
    <w:tmpl w:val="3926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3C3028"/>
    <w:multiLevelType w:val="multilevel"/>
    <w:tmpl w:val="465C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3162C"/>
    <w:multiLevelType w:val="multilevel"/>
    <w:tmpl w:val="77C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0515E7"/>
    <w:multiLevelType w:val="multilevel"/>
    <w:tmpl w:val="072C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614F1B"/>
    <w:multiLevelType w:val="multilevel"/>
    <w:tmpl w:val="2BD8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1656B"/>
    <w:multiLevelType w:val="multilevel"/>
    <w:tmpl w:val="0532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725BE1"/>
    <w:multiLevelType w:val="multilevel"/>
    <w:tmpl w:val="3176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F41FC3"/>
    <w:multiLevelType w:val="multilevel"/>
    <w:tmpl w:val="5952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2169B3"/>
    <w:multiLevelType w:val="multilevel"/>
    <w:tmpl w:val="A7D4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256970"/>
    <w:multiLevelType w:val="multilevel"/>
    <w:tmpl w:val="9634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828BB"/>
    <w:multiLevelType w:val="multilevel"/>
    <w:tmpl w:val="9144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B4594E"/>
    <w:multiLevelType w:val="multilevel"/>
    <w:tmpl w:val="A406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4A33C2"/>
    <w:multiLevelType w:val="multilevel"/>
    <w:tmpl w:val="AFD8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667405"/>
    <w:multiLevelType w:val="multilevel"/>
    <w:tmpl w:val="6CEC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3F595C"/>
    <w:multiLevelType w:val="multilevel"/>
    <w:tmpl w:val="D630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730C1B"/>
    <w:multiLevelType w:val="multilevel"/>
    <w:tmpl w:val="22E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7"/>
  </w:num>
  <w:num w:numId="3">
    <w:abstractNumId w:val="38"/>
  </w:num>
  <w:num w:numId="4">
    <w:abstractNumId w:val="8"/>
  </w:num>
  <w:num w:numId="5">
    <w:abstractNumId w:val="28"/>
  </w:num>
  <w:num w:numId="6">
    <w:abstractNumId w:val="21"/>
  </w:num>
  <w:num w:numId="7">
    <w:abstractNumId w:val="19"/>
  </w:num>
  <w:num w:numId="8">
    <w:abstractNumId w:val="9"/>
  </w:num>
  <w:num w:numId="9">
    <w:abstractNumId w:val="33"/>
  </w:num>
  <w:num w:numId="10">
    <w:abstractNumId w:val="13"/>
  </w:num>
  <w:num w:numId="11">
    <w:abstractNumId w:val="14"/>
  </w:num>
  <w:num w:numId="12">
    <w:abstractNumId w:val="18"/>
  </w:num>
  <w:num w:numId="13">
    <w:abstractNumId w:val="31"/>
  </w:num>
  <w:num w:numId="14">
    <w:abstractNumId w:val="17"/>
  </w:num>
  <w:num w:numId="15">
    <w:abstractNumId w:val="5"/>
  </w:num>
  <w:num w:numId="16">
    <w:abstractNumId w:val="35"/>
  </w:num>
  <w:num w:numId="17">
    <w:abstractNumId w:val="0"/>
  </w:num>
  <w:num w:numId="18">
    <w:abstractNumId w:val="1"/>
  </w:num>
  <w:num w:numId="19">
    <w:abstractNumId w:val="2"/>
  </w:num>
  <w:num w:numId="20">
    <w:abstractNumId w:val="34"/>
  </w:num>
  <w:num w:numId="21">
    <w:abstractNumId w:val="36"/>
  </w:num>
  <w:num w:numId="22">
    <w:abstractNumId w:val="23"/>
  </w:num>
  <w:num w:numId="23">
    <w:abstractNumId w:val="6"/>
  </w:num>
  <w:num w:numId="24">
    <w:abstractNumId w:val="3"/>
  </w:num>
  <w:num w:numId="25">
    <w:abstractNumId w:val="30"/>
  </w:num>
  <w:num w:numId="26">
    <w:abstractNumId w:val="10"/>
  </w:num>
  <w:num w:numId="27">
    <w:abstractNumId w:val="12"/>
  </w:num>
  <w:num w:numId="28">
    <w:abstractNumId w:val="25"/>
  </w:num>
  <w:num w:numId="29">
    <w:abstractNumId w:val="32"/>
  </w:num>
  <w:num w:numId="30">
    <w:abstractNumId w:val="4"/>
  </w:num>
  <w:num w:numId="31">
    <w:abstractNumId w:val="39"/>
  </w:num>
  <w:num w:numId="32">
    <w:abstractNumId w:val="11"/>
  </w:num>
  <w:num w:numId="33">
    <w:abstractNumId w:val="26"/>
  </w:num>
  <w:num w:numId="34">
    <w:abstractNumId w:val="15"/>
  </w:num>
  <w:num w:numId="35">
    <w:abstractNumId w:val="27"/>
  </w:num>
  <w:num w:numId="36">
    <w:abstractNumId w:val="40"/>
  </w:num>
  <w:num w:numId="37">
    <w:abstractNumId w:val="7"/>
  </w:num>
  <w:num w:numId="38">
    <w:abstractNumId w:val="16"/>
  </w:num>
  <w:num w:numId="39">
    <w:abstractNumId w:val="22"/>
  </w:num>
  <w:num w:numId="40">
    <w:abstractNumId w:val="29"/>
  </w:num>
  <w:num w:numId="41">
    <w:abstractNumId w:val="41"/>
  </w:num>
  <w:num w:numId="42">
    <w:abstractNumId w:val="20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4D5CA8"/>
    <w:rsid w:val="0059308D"/>
    <w:rsid w:val="006B6B83"/>
    <w:rsid w:val="007214CA"/>
    <w:rsid w:val="007611A3"/>
    <w:rsid w:val="007E5D19"/>
    <w:rsid w:val="008E615F"/>
    <w:rsid w:val="0095551E"/>
    <w:rsid w:val="00A716F7"/>
    <w:rsid w:val="00A9165C"/>
    <w:rsid w:val="00AA6FD4"/>
    <w:rsid w:val="00B4381A"/>
    <w:rsid w:val="00BB6261"/>
    <w:rsid w:val="00C91654"/>
    <w:rsid w:val="00CE3CDF"/>
    <w:rsid w:val="00D445F4"/>
    <w:rsid w:val="00D637C8"/>
    <w:rsid w:val="00DD1738"/>
    <w:rsid w:val="00E77C21"/>
    <w:rsid w:val="00F8027B"/>
    <w:rsid w:val="00F83D64"/>
    <w:rsid w:val="00F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FF4737"/>
    <w:rPr>
      <w:i/>
      <w:iCs/>
    </w:rPr>
  </w:style>
  <w:style w:type="paragraph" w:customStyle="1" w:styleId="wp-caption-text">
    <w:name w:val="wp-caption-text"/>
    <w:basedOn w:val="a"/>
    <w:rsid w:val="00FF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nak-title">
    <w:name w:val="znak-title"/>
    <w:basedOn w:val="a0"/>
    <w:rsid w:val="00F80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44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75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46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930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11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36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3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977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50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781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148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68159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38091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4916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982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50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7086409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2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7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1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1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99443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315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552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721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626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796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27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51461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9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14162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9274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240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090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4964431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8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1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2227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7881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3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5201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525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587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2017-08-07T16:28:00Z</dcterms:created>
  <dcterms:modified xsi:type="dcterms:W3CDTF">2017-08-07T16:28:00Z</dcterms:modified>
</cp:coreProperties>
</file>