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6" w:rsidRDefault="005857A6" w:rsidP="005857A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18704-78 Кислота борная. Технические условия (с Изменениями N 1, 2, 3)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18704-78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5857A6" w:rsidRDefault="005857A6" w:rsidP="005857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5857A6" w:rsidRDefault="005857A6" w:rsidP="005857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БОРНАЯ</w:t>
      </w:r>
    </w:p>
    <w:p w:rsidR="005857A6" w:rsidRDefault="005857A6" w:rsidP="005857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5857A6" w:rsidRDefault="005857A6" w:rsidP="005857A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2171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5857A6" w:rsidRDefault="005857A6" w:rsidP="005857A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по производству минеральных удобрений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Н.И.Баянова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Г.П.Скотникова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Е.К.Каверзин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Г.А.Мошкарева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Д.М.Гончарова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04.11.78 N 2893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18704-73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805"/>
      </w:tblGrid>
      <w:tr w:rsidR="005857A6" w:rsidTr="005857A6">
        <w:trPr>
          <w:trHeight w:val="15"/>
        </w:trPr>
        <w:tc>
          <w:tcPr>
            <w:tcW w:w="5544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5857A6" w:rsidTr="005857A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12.4.013-85* 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5857A6" w:rsidTr="005857A6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действует </w:t>
            </w:r>
            <w:r w:rsidRPr="005857A6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5857A6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5857A6">
              <w:rPr>
                <w:color w:val="2D2D2D"/>
                <w:sz w:val="15"/>
                <w:szCs w:val="15"/>
              </w:rPr>
              <w:t xml:space="preserve"> 12.4.013-97</w:t>
            </w:r>
            <w:r>
              <w:rPr>
                <w:color w:val="2D2D2D"/>
                <w:sz w:val="15"/>
                <w:szCs w:val="15"/>
              </w:rPr>
              <w:t>, здесь и далее по тексту. - Примечание "КОДЕКС".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22-78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4.6.1; 4.7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195-77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4.6.1; 4.9.1; 4.12.1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5.1; 5.2; 5.3; 5.4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2912-79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4.9.1; 4.12.1 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4.6.1; 4.12.1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4.6.1; 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4.7; 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4331-78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4470-79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4530-76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5456-79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6259-75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lastRenderedPageBreak/>
              <w:t>ГОСТ 6341-75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4.9.1; 4.12.1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1.3; 4.15.1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6709-72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4.6.1; 4.8.1; 4.9.1; 4.12.1; 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4.6.1; 4.8.1; 4.9.1; 4.12.1; 4.15.1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10164-75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16539-79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5.1; 5.2; 5.4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18225-72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4.7; 4.9.1; 4.12.1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19627-74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4.6.1; 4.8.1; 4.9.1; 4.12.1; 4.15.1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4.8.1; 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857A6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4.8.1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3-3.1766-82, ТУ 3-3.1860-85, ТУ 3-3.2164-89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4.6.1; 4.8.1; 4.9.1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6-09-5484-90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5857A6" w:rsidTr="005857A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УССР 38 205459-85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Снято ограничение срока действия Постановлением Госстандарта СССР от 30.05.91 N 762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(апрель 1993 г.) с Изменениями N 1, 2, 3, утвержденными в феврале 1986 г., январе 1988 г., мае 1991 г. (ИУС 5-86, 4-88, 8-91)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борную кислоту, изготовляемую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Борная кислота применяется в химической промышленности, медицине, при производстве стекла, керамики и в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77" type="#_x0000_t75" alt="ГОСТ 18704-78 Кислота борная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BO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8" type="#_x0000_t75" alt="ГОСТ 18704-78 Кислота борная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борной кислоты (по международным атомным массам 1985 г.) - 61,83.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Борная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В зависимости от применения борная кислота выпускается четырех марок: для оптического стекловарения, А, Б и В. Область применения марок приведена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борная кислота должна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3"/>
        <w:gridCol w:w="1888"/>
        <w:gridCol w:w="1569"/>
        <w:gridCol w:w="1492"/>
        <w:gridCol w:w="1630"/>
        <w:gridCol w:w="1717"/>
      </w:tblGrid>
      <w:tr w:rsidR="005857A6" w:rsidTr="005857A6">
        <w:trPr>
          <w:trHeight w:val="15"/>
        </w:trPr>
        <w:tc>
          <w:tcPr>
            <w:tcW w:w="240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оптического стекловарения ОКП</w:t>
            </w:r>
            <w:r>
              <w:rPr>
                <w:color w:val="2D2D2D"/>
                <w:sz w:val="15"/>
                <w:szCs w:val="15"/>
              </w:rPr>
              <w:br/>
              <w:t>21 2171 0400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21 2171 0100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21 2171 0200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1-й </w:t>
            </w:r>
            <w:proofErr w:type="spellStart"/>
            <w:r>
              <w:rPr>
                <w:color w:val="2D2D2D"/>
                <w:sz w:val="15"/>
                <w:szCs w:val="15"/>
              </w:rPr>
              <w:t>cop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21 2171 0330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21 2171 0340</w:t>
            </w: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Мелкий кристаллический сыпучий порошок белого цвета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борной кислоты (H</w:t>
            </w:r>
            <w:r>
              <w:rPr>
                <w:color w:val="2D2D2D"/>
                <w:sz w:val="15"/>
                <w:szCs w:val="15"/>
              </w:rPr>
              <w:pict>
                <v:shape id="_x0000_i1679" type="#_x0000_t75" alt="ГОСТ 18704-78 Кислота борная. Технические условия (с Изменениями N 1, 2, 3)" style="width:8.25pt;height:18pt"/>
              </w:pict>
            </w:r>
            <w:r>
              <w:rPr>
                <w:color w:val="2D2D2D"/>
                <w:sz w:val="15"/>
                <w:szCs w:val="15"/>
              </w:rPr>
              <w:t>BO</w:t>
            </w:r>
            <w:r>
              <w:rPr>
                <w:color w:val="2D2D2D"/>
                <w:sz w:val="15"/>
                <w:szCs w:val="15"/>
              </w:rPr>
              <w:pict>
                <v:shape id="_x0000_i1680" type="#_x0000_t75" alt="ГОСТ 18704-78 Кислота борная. Технические условия (с Изменениями N 1, 2, 3)" style="width:8.25pt;height:18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Cl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681" type="#_x0000_t75" alt="ГОСТ 18704-78 Кислота борная. Технические условия (с Изменениями N 1, 2, 3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остатка, не растворимого в воде,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Должна выдерживать испытание по п.4.8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Ca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фосфатов (PO</w:t>
            </w:r>
            <w:r>
              <w:rPr>
                <w:color w:val="2D2D2D"/>
                <w:sz w:val="15"/>
                <w:szCs w:val="15"/>
              </w:rPr>
              <w:pict>
                <v:shape id="_x0000_i1682" type="#_x0000_t75" alt="ГОСТ 18704-78 Кислота борная. Технические условия (с Изменениями N 1, 2, 3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остатка, нелетучего при обработке этиловым спиртом,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Остаток на сите с сеткой по </w:t>
            </w:r>
            <w:r w:rsidRPr="005857A6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04К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0063К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красящих примесей, %, не более: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ванадий (V)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 (</w:t>
            </w:r>
            <w:proofErr w:type="spellStart"/>
            <w:r>
              <w:rPr>
                <w:color w:val="2D2D2D"/>
                <w:sz w:val="15"/>
                <w:szCs w:val="15"/>
              </w:rPr>
              <w:t>Co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0,000003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 (</w:t>
            </w:r>
            <w:proofErr w:type="spellStart"/>
            <w:r>
              <w:rPr>
                <w:color w:val="2D2D2D"/>
                <w:sz w:val="15"/>
                <w:szCs w:val="15"/>
              </w:rPr>
              <w:t>Mn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 (</w:t>
            </w:r>
            <w:proofErr w:type="spellStart"/>
            <w:r>
              <w:rPr>
                <w:color w:val="2D2D2D"/>
                <w:sz w:val="15"/>
                <w:szCs w:val="15"/>
              </w:rPr>
              <w:t>Cu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 (</w:t>
            </w:r>
            <w:proofErr w:type="spellStart"/>
            <w:r>
              <w:rPr>
                <w:color w:val="2D2D2D"/>
                <w:sz w:val="15"/>
                <w:szCs w:val="15"/>
              </w:rPr>
              <w:t>Ni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 (</w:t>
            </w:r>
            <w:proofErr w:type="spellStart"/>
            <w:r>
              <w:rPr>
                <w:color w:val="2D2D2D"/>
                <w:sz w:val="15"/>
                <w:szCs w:val="15"/>
              </w:rPr>
              <w:t>Cr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70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Для борной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массовые доли мышьяка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фосфатов (PO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нормируют только для медицинских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Для борной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массовую долю тяжелых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нормируют только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 борной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используемой для получения электровакуумного стекла, остаток на сите с сеткой 0063К должен быть не менее 80%.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Борная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степени воздействия на организм борная кислота относится к умеренно опасным веществам (3-й класс опасности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Борная кислота попадает в организм при вдыхании в виде паров или аэрозоля. Растворенная в воде она хорошо проникает через поврежденные участки кожи (экземы, трещины, ожоги), вызывая отравления организма человека.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борной кислоты в воздухе рабочей зоны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Определение содержания борной кислоты в воздухе проводят по методам, утвержденным Министерством здравоохранения СССР. Определение основано на взаимодействии борной кислоты с 1,1-диантримидом в концентрированной серной кислоте с образованием соединения, окрашенного в синий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Воздух, выбрасываемый в атмосферу, должен проходить очистку до установленных предельно допустимых норм.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Сточные воды, образующиеся в результате смывов и влажной уборки, должны быть собраны в приемнике и направлены для обезвреживания на станцию нейтрализации или возвращены в технологический процесс.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Производственные и лабораторные помещения, в которых проводится работа с борной кислотой, должны быть оснащены приточно-вытяжной вентиляцией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воздуха рабочей зоны в соответствии с требованиями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Работающие с борной кислотой должны применять для защиты органов дыхания средства индивидуальной защиты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12.4.034-85</w:t>
      </w:r>
      <w:r>
        <w:rPr>
          <w:rFonts w:ascii="Arial" w:hAnsi="Arial" w:cs="Arial"/>
          <w:color w:val="2D2D2D"/>
          <w:spacing w:val="1"/>
          <w:sz w:val="15"/>
          <w:szCs w:val="15"/>
        </w:rPr>
        <w:t>, лица и глаз - очки защитные по ГОСТ 12.4.013-85, а также специальную одежду и обувь и средства защиты рук -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Анализы борной кислоты должны проводиться с соблюдением основных правил безопасной работы в химических лабораториях*,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ПРИЕМКА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Борную кислоту принимают партиями. Партией считают количество продукта, однородного по показателям качества, в объеме не более 1000 т и оформленного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результат анализа сменной выработки распространять на все формируемые из нее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проверки соответствия качества борной кислоты требованиям настоящего стандарта проводят приемосдаточные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Для контроля качества продукта из партии борной кислоты отбирают случайную выборку, объем которой составляет не менее 5% единиц продукции, при малых партиях (менее 60 единиц) - не менее трех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Допускается у изготовителя определять периодически, не реже одного раза в месяц следующие показатели: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продукте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массовые доли тяжелых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не растворимого в воде остатка, кальция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мышьяка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фосфатов (PO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продукте марки Б - массовые доли хлоридов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тяжелых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не растворимого в воде остатка, кальция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мышьяка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фосфатов (PO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продукте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массовые доли сульфатов (SO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железа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не растворимого в воде остатка.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При получении неудовлетворительных результатов анализа хотя бы по одному показателю проводят по нему повторный анализ на удвоенной выборке от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испытания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каждого показателя округляют до наименьшего разряда суммарной погрешности.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методов анализа, прошедших метрологическую аттестацию и имеющих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точностные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характеристики не ниже методов, предусмотренных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показателя качества анализ проводят методами, указанными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Для проверки качества борной кислоты, подлежащей упаковыванию, точечные пробы отбирают через равные интервалы времени вручную или механическим пробоотборником любой конструкции, обеспечивающим получение точечной пробы массой не менее 100 г от 3-5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упакованного продукта отбирают пробоотборником любой конструкции, погружая его не менее чем на 1/2 глубины мешка или контейнера. Масса точечной пробы при этом должна быть не менее 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 изготовителя отбор точечных проб проводить из мешков и контейнеров перед их зашиванием или завязыванием.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Отбор проб проводят по следующей схеме: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упаковочных единиц продукции, отобранных для контроля, или массы продукта перед упаковыванием берут точечные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отобранные точечные пробы соединяют вместе, перемешивают и составляют объединенную пробу;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 объединенной пробы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берут для анализа среднюю, пробу массой не менее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Среднюю пробу борной кислоты помещают в сухую стеклянную или полиэтиленовую банку или полиэтиленовый мешок. Банку плотно закрывают, мешок завязывают.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банку, мешок с пробой наносят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4.1.2, 4.1.3.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Внешний вид продукта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борной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Методика основана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алкалиметрическом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титровании комплексных соединений борной кислоты с многоатомными спиртами с использованием индикатора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8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 кг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для фильтрования под разрежением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коническая Кн-2-250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 (2)-100-2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50 и 250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28498-90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0,5 °С.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(3)-100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содержащая углекислоты;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Глицерин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6259-75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раствор, разбавленный 1:1 и нейтрализованный по фенолфталеину раствором гидроокиси натрия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0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692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 (-)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ТУ 6-09-5484-90,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4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6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 Коэффициент поправки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гидроокиси натрия устанавливают по дважды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янтарной кислоте методом отдельных навесок.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янтарная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6341-75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дважды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Сахар-рафинад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22-78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(Д) - Сорбит,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1%,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4919.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857A6">
        <w:rPr>
          <w:rFonts w:ascii="Arial" w:hAnsi="Arial" w:cs="Arial"/>
          <w:color w:val="2D2D2D"/>
          <w:spacing w:val="1"/>
          <w:sz w:val="15"/>
          <w:szCs w:val="15"/>
        </w:rPr>
        <w:t>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4.3.2. Приготовление дважды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янтарной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(100,0±1,0) г янтарной кислоты растворяют при кипячении в 170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9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Горячий раствор быстро фильтруют на воронке с обрезанным носиком через фильтровальную бумагу и охлаждают при непрерывном перемешивании. Выделившиеся кристаллы отфильтровывают на воронке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повторно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растворяя при кипячении в 140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Полученные кристаллы янтарной кислоты сушат между листами фильтровальной бумаги до тех пор, пока они не перестанут прилипать к стеклянной палочке.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использованием янтарную кислоту высушивают в сушильном шкафу при температуре (105±5)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Установка коэффициента поправки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(1,0000±0,1000) г янтарной кислоты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растворяют, нагревая до кипения,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воды, не содержащей углекислоты.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титруют в горячем состоянии гидроокисью натрия в присутствии 3-4 капель фенолфталеина до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появления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исчезающего в течение 50-60 с розового окрашивания.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поправки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4" type="#_x0000_t75" alt="ГОСТ 18704-78 Кислота борная. Технические условия (с Изменениями N 1, 2, 3)" style="width:12.75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30605" cy="422910"/>
            <wp:effectExtent l="19050" t="0" r="0" b="0"/>
            <wp:docPr id="682" name="Рисунок 682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7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янтарной кислоты,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8" type="#_x0000_t75" alt="ГОСТ 18704-78 Кислота борная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0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0,02952 - масса янтарной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За результат анализа принимают среднее арифметическое результатов трех параллельных определений, допускаемые расхождения между которыми не должны превышать 0,001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3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Приготовление раствора инвертированного сахара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(5,00±0,05) кг сахара-рафинада растворяют в 3,2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воды, не содержащей углекислоты, нагревают до температуры (80±5) °С и приливают 408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перемешивают и выдерживают при этой температуре в течение 1 ч. Затем раствор сахара фильтруют, добавляют 460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для нейтрализации, охлаждают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доводят дистиллированной водой, не содержащей углекислоты, до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перемешивают. Полученный раствор нейтрализуют по фенолфталеину растворами гидроокиси натрия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соляной кислоты до обесцвечивания окраски фенолфталеина от одной капли раствора соляной кислоты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(1,0000±0,1000) г борной кислоты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нагретой до (65±5) °С, не содержащей углекислоты, охлаждают, прибавляют 10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сорбита, или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сахара, или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глицерина, 5 капель фенолфталеина и титруют раствором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появления розовой окраски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 этого прибавляют еще 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сорбита, или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сахара, или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глицерина и, при обесцвечивании раствора, вновь титруют до появления розовой окраски. Эту операцию проводят до тех пор, пока окраска раствора не перестанет исчезать при добавлении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маннита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сорбита, или раствора сахара, или раствора глицерина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4.3.6.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борной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8" type="#_x0000_t75" alt="ГОСТ 18704-78 Кислота борная. Технические условия (с Изменениями N 1, 2, 3)" style="width:14.25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535430" cy="389255"/>
            <wp:effectExtent l="19050" t="0" r="7620" b="0"/>
            <wp:docPr id="705" name="Рисунок 705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0" type="#_x0000_t75" alt="ГОСТ 18704-78 Кислота борная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0,03092 - масса борной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5" type="#_x0000_t75" alt="ГОСТ 18704-78 Кислота борная. Технические условия (с Изменениями N 1, 2, 3)" style="width:12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поправки титрованного раствора гидроокиси натрия;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6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За результат анализа принимают среднее арифметическое результатов двух параллельных определений, абсолютное расхождение между которыми не должно превышать 0,3%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37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±0,6%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38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(30,00±1,00) г борной кислоты помещают в коническую колбу вместимостью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наносят метку на уровне жидкости. Колбу накрывают воронкой и растворяют пробу при нагревании на кипящей водяной бане (при необходимости объем раствора доводят водой до метки). Раствор охлаждают до комнатной температуры и фильтруют через плотный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раствором азотной кислоты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(соответствуют 10 г продукта) для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20 мл фильтрата (соответствуют 5 г продукта) для марки Б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добавляют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для марки Б и далее определение проводят визуально-нефелометрическим и фототурбидиметрическим (способ 2) методами. Исходная навеска для фототурбидиметрического метода - (45,00±1,00)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масса хлоридов не будет превышать для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 - 0,010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 - 0,050 мг.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определения массовой доли хлоридов не должна превышать 10% нормы, установленной для этого показателя,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45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сульфатов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фототурбидиметрический, основан на образовании однородного мелкодисперсного осадка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подкисленном растворе в присутствии стабилизатора крахмала или этиленгликоля и измерении на фотоколориметре ослабления интенсивности светового потока взвесью сульфата бария.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Аппаратура, реактивы и растворы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 (2)-500-2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коническая Кн-2-250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 по ТУ 3-3.1766-82, ТУ 3-3.1860-85, ТУ 3-3.2164-89.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Мензурка 100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1, 5, 10, 20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28498-90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0,5 °С.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п.2.28.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п.2.89.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п.2.90.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Стандартный раствор,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используют свежеприготовленный - раствор I.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Этиленгликоль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10164-75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Условия проведения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окружающего воздуха при проведении анализа - (25±5)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температуре воздуха ниже 20 °С необходимо перед прибавлением раствора хлористого бария подогреть растворы на водяной бане, имеющей температуру 30-35 °С, в течение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Температура анализируемых растворов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и при анализе проб должна быть одинаковой в интервале (25±5)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4.5.3.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 конические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помещают 2,0; 4,0; 6,0; 8,0;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I, что соответствует 0,02; 0,04; 0,06; 0,08; 0,10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объемы растворов доводят водой до 25 см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не содержащий раствора 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каждый раствор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крахмала или этиленгликоля и тщательно перемешивают в течение 1 мин. Затем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 и снова перемешивают в течение 1 мин, а затем периодически перемешивают через каждые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40 мин измеряют оптическую плотность растворов по отношению к контрольному раствору при длине волны 490 нм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Каждая точка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должна представлять собой среднее арифметическое значение не менее чем результатов трех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растворах массы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миллиграммах, а по оси ординат - соответствующие им значения оптических плотностей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Подготовка проб борной кислоты марок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t>для оптического стекловарения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(30,00±1,00) г борной кислоты марки А или (5,00±0,50) г продукта марок "для оптического стекловарения" или Б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наносят метку уровня жидкости.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Колбу накрывают воронкой и растворяют пробу при нагревании, но не кипятят (при необходимости доводят объем раствора водой до метки).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Раствор охлаждают до комнатной температуры и фильтруют через фильтр "синяя лента", предварительно промытый 3-4 раза горячей водой, отбрасывая первые порции фильтрата. Фильтрат помещают в коническую колбу и закрывают - раствор II для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раствор III для марок "для оптического стекловарения" или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4.5.5. Подготовка проб борной кислоты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(1,0000±0,1000) г борной кислоты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нагревают, избегая кипячения, до растворения навески. Раствор охлаждают до комнатной температуры, переводят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 и перемешивают. Раствор фильтруют через фильтр "синяя лента", предварительно промытый 3-4 раза горячей водой, отбрасывая первые порции фильтрата - раствор IV.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4.5.6.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II,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III и 10 или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IV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растворов доводят водой до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соляной кислоты и далее поступают,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4.5.7.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0" type="#_x0000_t75" alt="ГОСТ 18704-78 Кислота борная. Технические условия (с Изменениями N 1, 2, 3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429895"/>
            <wp:effectExtent l="19050" t="0" r="0" b="0"/>
            <wp:docPr id="747" name="Рисунок 747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2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сульфатов,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3" type="#_x0000_t75" alt="ГОСТ 18704-78 Кислота борная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объем раствора с анализируемой навеской,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5" type="#_x0000_t75" alt="ГОСТ 18704-78 Кислота борная. Технические условия (с Изменениями N 1, 2, 3)" style="width:14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аликвотной части раствора,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77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борной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должно превышать значений, указанных в табл.1а,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78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при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779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 указана в табл.1а.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4"/>
        <w:gridCol w:w="2816"/>
        <w:gridCol w:w="3468"/>
        <w:gridCol w:w="1881"/>
      </w:tblGrid>
      <w:tr w:rsidR="005857A6" w:rsidTr="005857A6">
        <w:trPr>
          <w:trHeight w:val="15"/>
        </w:trPr>
        <w:tc>
          <w:tcPr>
            <w:tcW w:w="2587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измерений,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параллельных определений,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анализа рабочей пробы в начале и в конце контролируемого периода,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суммарная погрешность результата анализа,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857A6" w:rsidTr="005857A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0,0003 до 0,0009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±0,00022</w:t>
            </w:r>
          </w:p>
        </w:tc>
      </w:tr>
      <w:tr w:rsidR="005857A6" w:rsidTr="005857A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0,002 до 0,009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±0,0007</w:t>
            </w:r>
          </w:p>
        </w:tc>
      </w:tr>
      <w:tr w:rsidR="005857A6" w:rsidTr="005857A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 до 0,6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±0,05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железа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 в борной кислоте марки "для оптического стекловарения" определяют по п.4.16.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 в борной кислоте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Б и В определяют фотоколориметрическим методом, который основан на измерении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светопоглощения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комплексного соединения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(II) с 1,10-фенантролином или 2,2'-дипиpидилoм после предварительного восстановления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(III) гидрохлоридом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 (2)-50-2; 1 (2)-1000-2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 по ТУ 3-3.1766-82, ТУ 3-3.1860-85, ТУ 3-3.2164-89.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1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Буферный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5. Готовят следующим образом: 38 г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300-500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переводят раствор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гидрохлорид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5456-79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2,2'-Дипи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идил.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6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8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(III);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раствор 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 на железо. Готовят двумя способами. Первый способ: к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прибавляют 5,8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уксусной кислоты, 10 г гидрохлорида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0,1 г 2,2'-дипи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идила, затем добавляют 245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3,8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снова перемешивают. Второй способ: к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 г гидрохлорида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0,1 г 1,10-фенантролина и перемешивают. Растворы хранят в склянках оранжево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1.10-фенантролин.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растворы сравнения. В стаканы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0,2; 0,5; 1,0; 1,5; 2,0; 4,0; 5,0; 6,0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I, что соответствует 0,002; 0,005; 0,010; 0,015; 0,020; 0,040; 0,050; 0,060 мг железа. Доводят объемы растворов водой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содержащий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9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раствор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реактива на железо. Растворы погружают на 10 мин в кипящую водяную баню, затем охлаждают, переводят 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объемы растворов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Оптические плотности растворов сравнения измеряют по отношению к контрольному раствору в кюветах с толщиной поглощающего свет слоя 50 мм при длине волны 490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растворах сравнения массы железа в миллиграммах, и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Каждая точка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должна представлять собой среднее арифметическое значение не менее чем трех результатов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замене реактивов или прибора проверяют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(2,00±0,10) г продукта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реактива на железо, нагревают 10 мин на кипящей водяной бане, охлаждают, переводят раствор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содержащий все реактивы, кроме анализируемого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Оптическую плотность анализируемого раствора измеряют по отношению к контрольному раствору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8" type="#_x0000_t75" alt="ГОСТ 18704-78 Кислота борная. Технические условия (с Изменениями N 1, 2, 3)" style="width:18pt;height:17.2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785" name="Рисунок 785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0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1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должно превышать значений, указанных в табл.1б,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12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при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13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указана в табл.1б.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2"/>
        <w:gridCol w:w="2861"/>
        <w:gridCol w:w="3524"/>
        <w:gridCol w:w="1902"/>
      </w:tblGrid>
      <w:tr w:rsidR="005857A6" w:rsidTr="005857A6">
        <w:trPr>
          <w:trHeight w:val="15"/>
        </w:trPr>
        <w:tc>
          <w:tcPr>
            <w:tcW w:w="240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измерений,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параллельных определений,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анализа рабочей пробы в начале и в конце контролируемого периода,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суммарная погрешность результата анализа, %</w:t>
            </w: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0,0001 до 0,0006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±0,00005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0,001 до 0,004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±0,0004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4.3-4.6.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 При этом (2,00±0,50) г борной кислоты помещают в платиновую чашку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этилового спирта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18300-72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препарат при осторожном нагревании, помешивая стеклянной палочкой. Раствор выпаривают на водяной бане, остаток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и вновь выпаривают в таких же условиях. Эту операцию повторяют 2-3 раза до полного улетучивания борной кислоты. К остатку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уксусной кислоты с массовой долей 30%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накрывают чашку стеклом и нагревают в течение 5-7 мин на кипящей водяной бане.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смывают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при перемешивании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с массовой долей 20%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без прибавления раствора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заканчивают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масса тяжелых металлов не будет превышать для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Б, В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необходимости в результат анализа вводят поправку на содержание тяжелых металлов в израсходованном на разложение количестве этилового спирта, определяемую контрольным опытом в остатке после выпаривания.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определения массовой доли тяжелых металлов не должна превышать 10% нормы, установленной для этого показателя,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21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остатка, не растворимого в воде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остатка, не растворимого в воде, в борной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 фотоколориметрическим методом, основанном на измерении оптической плотности раствора борной кислоты относительно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остатка, не растворимого в воде, в борной кислоте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 и "для оптического стекловарения" определяют методом, основанным на растворении навески пробы борной кислоты в воде при нагревании, фильтровании полученного раствора через фильтрующие тигли, высушивании нерастворимого остатка до постоянной массы при температуре 105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 по ТУ 3-3.1766-82, ТУ 3-3.1860-85, ТУ 3-3.2164-89.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стеклянные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 стеклянный лабораторный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28498-90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типа ТФ ПОР 16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нагрева 100-110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стеклянный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прокаленным хлористым кальцием.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 Проведение анализа продукта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(4,0±0,1) г борной кислоты взвешивают, помещают в стакан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нагретой до (35±5) °С, затем раствор охлаждают до комнатной температуры.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Оптическую плотность раствора измеряют относительно дистиллированной воды в кювете с толщиной поглощающего свет слоя 50 мм при длине волны 400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оптическая плотность не будет превышать 0,02.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4.8.3. Проведение анализа продукта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 и "для оптического стекловарения"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(50,00±1,00) г борной кислоты марки Б и "для оптического стекловарения" и (20,00±1,00) г марки В растворяют соответственно в 500 и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нагретой до (85±5) °С. Полученный раствор накрывают часовым стеклом и выдерживают на кипящей водяной бане до растворения пробы, фильтруют через фильтрующий тигель, предварительно высушенный до постоянной массы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взвешенный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точностью до четвертого десятичного знака. Остаток на фильтре промывают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воды. Тигель снаружи обмывают дистиллированной водой, протирают фильтровальной бумагой. Фильтр с остатком сушат в сушильном шкафу в течение 1,5 ч при температуре (105±5)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охлаждают и взвешивают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той же точностью.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остатка, не растворимого в воде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5" type="#_x0000_t75" alt="ГОСТ 18704-78 Кислота борная. Технические условия (с Изменениями N 1, 2, 3)" style="width:17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802" name="Рисунок 802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7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масса остатка в тигле,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8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борной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должно превышать значений, указанных в табл.1в,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29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при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30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указана в табл.1в.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2"/>
        <w:gridCol w:w="2861"/>
        <w:gridCol w:w="3524"/>
        <w:gridCol w:w="1902"/>
      </w:tblGrid>
      <w:tr w:rsidR="005857A6" w:rsidTr="005857A6">
        <w:trPr>
          <w:trHeight w:val="15"/>
        </w:trPr>
        <w:tc>
          <w:tcPr>
            <w:tcW w:w="240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измерений, 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параллельных определений,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значения допускаемых расхождений между результатами анализа рабочей пробы в начале и в конце контролируемого периода,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суммарная погрешность результата анализа, %</w:t>
            </w:r>
          </w:p>
        </w:tc>
      </w:tr>
      <w:tr w:rsidR="005857A6" w:rsidTr="005857A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0,001 до 0,003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±0,0012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0,003 до 0,011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±0,0022</w:t>
            </w:r>
          </w:p>
        </w:tc>
      </w:tr>
      <w:tr w:rsidR="005857A6" w:rsidTr="005857A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0,01 до 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±0,006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массовой доли кальция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фотоколориметрический, основан на измерении оптической плотности окрашенных растворов комплексного соединения кальция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кальционом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Борную кислоту предварительно удаляют из раствора выпариванием с этиловым спиртом.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градуированные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химические 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(П2) - 16-150 ХС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1-5 (10)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 по ТУ 3-3.1766-82, ТУ 3-3.1860-85, ТУ 3-3.2164-89.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Чашки платиновые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Ацетон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2603-79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, дважды перегнанная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бидистиллят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не содержащая углекислоты;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Кальций углекислый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4530-76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содержащий 1 мг кальция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раствор I. Раствор, содержащий 0,01 мг кальция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готовят соответствующим разбавлением раствора I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бидистиллятом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раствор II (используют в день приготовления).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Кальцион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свежеприготовленный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бидистилляте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0,002%.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Натрия гидроокись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6" type="#_x0000_t75" alt="ГОСТ 18704-78 Кислота борная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должен выдерживать испытание на пригодность для определения кальция: в пробирку, содержащую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ацетона, перемешивают, прибавляют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кальциона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снова перемешивают. Раствор должен иметь синюю окраску без розового оттенка.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высшего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растворы сравнения. В пробирки вместимостью 16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приливают из бюретки 0,2; 0,3; 0,4; 0,6; 0,7; 0,8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II, что соответствует 0,002; 0,003; 0,004; 0,006; 0,007; 0,008 мг кальция. Объемы растворов в пробирках доводят водой до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гидроокиси 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ацетона, перемешивают, 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кальциона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снова перемешивают. Одновременно готовят контрольный раствор с теми же количествами реактивов, но без раствора II. Через 2 мин, но не позднее чем через 10 мин после прибавления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кальциона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измеряют оптическую плотность приготовленных растворов относительно воды на фотоколориметре в кюветах с толщиной поглощающего свет слоя 20 мм, закрытых крышками, при длине волны 590 нм. Из найденной оптической плотности контрольного раствора вычитают оптические плотности растворов сравнения. Для построения каждой точки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вычисляют среднее арифметическое результатов не менее чем из трех параллельных определений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растворах сравнения массы кальция в миллиграммах, а по оси ординат - соответствующие им разности оптических плотностей контрольного раствора и растворов сравнения.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проверяют при смене реактивов или приборов.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 Проведение анализа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(0,1000±0,0100) г продукта марок "для оптического стекловарения" 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(0,2000±0,0100) г продукта марки А помещают в платиновую чашку,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спирта,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соляной кислоты и в вытяжном шкафу на водяной бане выпаривают досуха в условиях, исключающих возможность загрязнения кальцием. Операцию повторяют три раза. Затем в чашку добавляют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ацетона, перемешивают,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кальциона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снова перемешивают. Содержимое чашки переводят в пробирку и закрывают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через все стадии анализа проводят контрольный опыт. Через 2 мин, но не позднее чем через 10 мин измеряют оптические плотности полученных растворов относительно воды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 Из найденной оптической плотности раствора контрольного опыта вычитают оптическую плотность анализируемого раствора. По полученному значению оптической плотности при помощи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определяют массу кальция в анализируемой пробе в миллиграммах.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кальция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4" type="#_x0000_t75" alt="ГОСТ 18704-78 Кислота борная. Технические условия (с Изменениями N 1, 2, 3)" style="width:18pt;height:17.2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831" name="Рисунок 831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6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масса кальция,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7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борной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для диапазонов измерений от 0,001 до 0,002% и от 0,002 до 0,005% не должно превышать 0,0007 и 0,0014% соответственно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58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для указанных диапазонов составляет ±0,0003 и ±0,001% соответственно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59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4.8, 4.9.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Определение массовой доли мышьяка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Определение проводят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 г борной кислоты взвешивают с погрешностью не более 0,01 г, помещают в колбу прибора для определения мышьяка,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перемешивают до полного растворения пробы. Далее определение ведут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(способ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Продукт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раствора, приготовленного одновременно с анализируемым и содержащего в таком же объеме для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оптического стекловарения - 0,002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 - 0,002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двухлористого олова и 5 г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определения массовой доли мышьяка не должна превышать 10% нормы, установленной для этого показателя,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63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Определение массовой доли фосфатов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4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пробы, полученного по п.4.5.4 настоящего стандарта с использованием навески (20,00±1,00)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5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масса фосфатов не будет превышать 0,03 мг.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заканчивать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 Определение остатка, нелетучего при обработке этиловым спиртом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Методика основана на растворении борной кислоты в этиловом спирте с последующим выпариванием досуха, прокаливании остатка в муфельной печи и взвешивании массы сухого остатка.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терморегулятором, обеспечивающим температуру нагрева 1000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(3)-50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платиновая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25%.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(2,0000±0,0100) г пробы помещают в предварительно прокаленную и взвешенную с той же точностью платиновую чашку,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спирта,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9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в вытяжном шкафу на водяной бане выпаривают досуха.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сухому остатку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0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спирта,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1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снова выпаривают на водяной бане досуха. Выпаривание с этиловым спиртом повторяют еще дважды. Общий расход спирта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2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охлажденному остатку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выпаривают на песчаной бане до прекращения выделения паров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прокаливают в муфельной печи при температуре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и взвешивают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с тем же количеством реактивов, но без анализируемого продукта.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остатка, нелетучего при обработке этиловым спиртом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4" type="#_x0000_t75" alt="ГОСТ 18704-78 Кислота борная. Технические условия (с Изменениями N 1, 2, 3)" style="width:18pt;height:18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89685" cy="389255"/>
            <wp:effectExtent l="19050" t="0" r="5715" b="0"/>
            <wp:docPr id="851" name="Рисунок 851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6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масса платиновой чашки с сухим остатком,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7" type="#_x0000_t75" alt="ГОСТ 18704-78 Кислота борная. Технические условия (с Изменениями N 1, 2, 3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платиновой чашки,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8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борной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должно превышать 0,016%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79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результата анализа ±0,008%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80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4.11, 4.12.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4.13-4.14.2.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4.15. Определение остатка на сите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Сетки 04К и 0063К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(50,0±1,0) г борной кислоты просеивают через набор сит с сетками 04К и 0063К на механическом приборе до тех пор, пока изменение массы остатка на сетках при рассеве в течение 1 мин не будет превышать 0,05 г при взвешивании с погрешностью не более 0,001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 на сите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1" type="#_x0000_t75" alt="ГОСТ 18704-78 Кислота борная. Технические условия (с Изменениями N 1, 2, 3)" style="width:18pt;height:18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858" name="Рисунок 858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3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остатка на сите,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4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борной кислоты,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определения массовой доли остатка на сите не должна превышать 10% нормы, установленной для этого показателя,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885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 Определение массовой доли красящих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4.16.1. Средства измерений,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Автотрансформатор лабораторный ЛАТР-1.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ВАЗ 230-70.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Генератор дуги переменного тока ДГ-2.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МФ-2 или МФ-4.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ИСП-30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 и трехступенчатым ослабителем.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ПС-18.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Ступка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графитовые для спектрального анализа особой чистоты (электроды угольные) диаметром 6 мм. Верхний электрод заточен на конус, нижний электрод с цилиндрическим каналом диаметром 4,5 мм, глубиной 2 мм. Электроды обжигают в дуге постоянного тока 12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15 с. Спектры контролируют на отсутствие линий определяемых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спектральные типа II чувствительностью 15 относительных единиц.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Ванадия окись (V).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парадиоксибензол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19627-74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Железа (III) окись для спектрального анализа.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Кобальта окись для спектрального анализа.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Марганца двуокись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4470-79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Меди (II) окись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16539-79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пара-метиламинофенолсульфат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25664-83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сернисто-кислый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195-77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серноватисто-кислый (тиосульфат натрия)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83-79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натрий углекислый 10-водный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84-76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особой чистоты.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Никеля окись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4331-78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окись техническая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2912-79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Проявитель метолгидрохиноновый, готовят следующим образом: 2 г метола, 10 г гидрохинона и 52 г сернисто-кислого натрия растворяют в воде,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6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перемешивают и, если раствор мутный, его фильтруют (раствор А). 16 г безводного углекислого натрия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(или 40 г 10-водного углекислого натрия) и 2 г бромистого калия растворяют в воде, доводят объем раствора водой до 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7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его фильтруют (раствор Б).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смешивают в равных объемах.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Порошок графитовый. Фиксаж быстродействующий, готовят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500 г серноватисто-кислого натрия и 100 г хлористого аммония растворяют в воде, доводят объем раствора водой до 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8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Фтористоводородная кислота.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4.16.2.1. Приготовление образцов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исходный образец, содержащий 1% каждой примеси, тщательно растирая в ступке из органического стекла следующие компоненты: 0,029 г окиси железа; 0,036 г окиси ванадия; 0,025 г окиси кобальта; 0,032 г двуокиси марганца; 0,025 г окиси меди; 0,025 г окиси никеля; 0,029 г окиси хрома; 1,799 г графитового порошка.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Исходный образец разбавляют графитовым порошком в соотношении 1:9 (образец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Рабочие образцы готовят по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9"/>
        <w:gridCol w:w="2530"/>
        <w:gridCol w:w="2897"/>
        <w:gridCol w:w="2893"/>
      </w:tblGrid>
      <w:tr w:rsidR="005857A6" w:rsidTr="005857A6">
        <w:trPr>
          <w:trHeight w:val="15"/>
        </w:trPr>
        <w:tc>
          <w:tcPr>
            <w:tcW w:w="2218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%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 разбавляемого образца,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 графитового порошка,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5857A6" w:rsidTr="005857A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0,500 образца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4,500</w:t>
            </w:r>
          </w:p>
        </w:tc>
      </w:tr>
      <w:tr w:rsidR="005857A6" w:rsidTr="005857A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 образца 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3,000</w:t>
            </w:r>
          </w:p>
        </w:tc>
      </w:tr>
      <w:tr w:rsidR="005857A6" w:rsidTr="005857A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 образца 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3,000</w:t>
            </w:r>
          </w:p>
        </w:tc>
      </w:tr>
      <w:tr w:rsidR="005857A6" w:rsidTr="005857A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 образца 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3,000</w:t>
            </w:r>
          </w:p>
        </w:tc>
      </w:tr>
      <w:tr w:rsidR="005857A6" w:rsidTr="005857A6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 образца 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3,000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4.16.2.2. Приготовление концентрата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г анализируемой борной кислоты взвешивают, результат взвешивания записывают с точностью до второго десятичного знака, добавляют 0,020 г графитового порошка в качестве коллектора 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фторпластовой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подложке помещают на дно графитовой камеры (см. чертеж).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572385" cy="2702560"/>
            <wp:effectExtent l="19050" t="0" r="0" b="0"/>
            <wp:docPr id="865" name="Рисунок 865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основание; 2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корпус; 3 - крышка; 4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чашка с плавиковой кислотой; 5 - фторопластовая тарелка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 верхнюю полочку камеры помещают чашку с фтористоводородной кислотой. Графитовую камеру помещают на электроплитку и нагревают до 200-250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появления паров из отверстия на боковой стенке камеры. Разложение ведут до полного удаления основы в течение 5-10 ч (в зависимости от дисперсности пробы).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0,02 г концентрата и рабочих образцов взвешивают с точностью до третьего десятичного знака, смешивают на кальке с 0,001 г хлористого натрия, помещают в кратер подготовленного электрода и возбуждают спектр в дуге постоянного тока. Анализ проводят в следующих условиях: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8775"/>
        <w:gridCol w:w="1410"/>
      </w:tblGrid>
      <w:tr w:rsidR="005857A6" w:rsidTr="005857A6">
        <w:trPr>
          <w:trHeight w:val="15"/>
        </w:trPr>
        <w:tc>
          <w:tcPr>
            <w:tcW w:w="185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9425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тока, 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5857A6" w:rsidTr="005857A6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Ширина щели,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5857A6" w:rsidTr="005857A6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промежуточной диафрагмы на средней линзе конденсаторной системы,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5857A6" w:rsidTr="005857A6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Экспозиция,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Спектры анализируемых проб и образцов снимают на одной пластинке не менее трех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Фотопластинку со снятыми спектрами проявляют, промывают в проточной воде, фиксируют, снова промывают, высушивают на воздухе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микрофотометре, измеряя почернения аналитических линий и соседнего фона.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Используют следующие аналитические линии: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- 252,85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- 280,11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- 283,56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- 302,06 нм;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- 305,08 нм;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V - 318,54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- 324,75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каждой аналитической пары вычисляют разность почернений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0" type="#_x0000_t75" alt="ГОСТ 18704-78 Кислота борная. Технические условия (с Изменениями N 1, 2, 3)" style="width:18.75pt;height:15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238760"/>
            <wp:effectExtent l="19050" t="0" r="0" b="0"/>
            <wp:docPr id="867" name="Рисунок 867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2" type="#_x0000_t75" alt="ГОСТ 18704-78 Кислота борная. Технические условия (с Изменениями N 1, 2, 3)" style="width:1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аналитической линии;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3" type="#_x0000_t75" alt="ГОСТ 18704-78 Кислота борная. Технические условия (с Изменениями N 1, 2, 3)" style="width:15.75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фона.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значениям разности почернений определяют среднее арифметическое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4" type="#_x0000_t75" alt="ГОСТ 18704-78 Кислота борная. Технические условия (с Изменениями N 1, 2, 3)" style="width:21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каждого элемента.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5" type="#_x0000_t75" alt="ГОСТ 18704-78 Кислота борная. Технические условия (с Изменениями N 1, 2, 3)" style="width:21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образцов для каждого определяемого элемента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абсцисс - логарифмы концентраций, а на оси ординат - разность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6" type="#_x0000_t75" alt="ГОСТ 18704-78 Кислота борная. Технические условия (с Изменениями N 1, 2, 3)" style="width:21pt;height:14.2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 находят концентрацию примесей в концентрате.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примесей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7" type="#_x0000_t75" alt="ГОСТ 18704-78 Кислота борная. Технические условия (с Изменениями N 1, 2, 3)" style="width:18pt;height:18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95960" cy="389255"/>
            <wp:effectExtent l="19050" t="0" r="8890" b="0"/>
            <wp:docPr id="874" name="Рисунок 874" descr="ГОСТ 18704-78 Кислота бор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ГОСТ 18704-78 Кислота бор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9" type="#_x0000_t75" alt="ГОСТ 18704-78 Кислота борная. Технические условия (с Изменениями N 1, 2, 3)" style="width:12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примесей в концентрате,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900" type="#_x0000_t75" alt="ГОСТ 18704-78 Кислота борная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масса навески коллектора,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901" type="#_x0000_t75" alt="ГОСТ 18704-78 Кислота борная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навески анализируемой пробы,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трех параллельных определений, допускаемые расхождения между которыми не должны превышать 20% нормы, установленной для этого показателя,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1902" type="#_x0000_t75" alt="ГОСТ 18704-78 Кислота борная. Технические условия (с Изменениями N 1, 2, 3)" style="width:12pt;height:12.7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4.16-4.16.4.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Борную кислоту упаковывают в четырех-, пятислойные бумажные мешки, марки НМ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полиэтиленовые мешки М8-0,220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в специализированные мягкие контейнеры типов МКР-1,0М, МКР-1,0С, МК-1,0Л.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Борную кислоту, предназначенную для электровакуумного стекла, упаковывают в пятислойные бумажные мешки марки ПМ или ВМП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полиэтиленовые мешки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По требованию потребителя борную кислоту для медицинских целей, электронной промышленности и предприятий отрасли оптического стекловарения упаковывают в пленочные мешки-вкладыши, вложенные в четырех-, пятислойные бумажные мешки марки НМ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Борную кислоту для районов Крайнего Севера и приравненных к ним районов упаковывают в специализированные мягкие контейнеры типов МКР-1,0С, МК-1,0Л или в два вложенных один в другой мешка: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внутренние - четырех-, пятислойные бумажные мешки марки НМ или ПМ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или полиэтиленовые мешки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наружные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по ГОСТ 18225-72 или четырех-, пятислойные бумажные мешки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(кроме мешков марки НМ), или бумажные мешки по ТУ УССР 38 205459-85.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 транспортировании железнодорожным транспортом упаковывать борную кислоту в специализированные мягкие контейнеры типа МКР-1,0М без перевалок в пути следования с погрузкой и выгрузкой на подъездных путях предприятий.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продукта перед упаковыванием в бумажные мешки не должна превышать 65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 полиэтиленовые мешки - 60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Бумажные,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и полиэтиленовые вместе с бумажными мешками зашивают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мешков - не более 40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Борную кислоту, предназначенную для экспорта, упаковывают, маркируют и транспортируют в соответствии с требованиями договора между предприятием и внешнеэкономическими организациями.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мелких отправках мешки с продуктом дополнительно упаковывают в плотные дощатые ящики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18573-86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деревянные сухотарные бочки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от 25 до 250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903" type="#_x0000_t75" alt="ГОСТ 18704-78 Кислота борная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Транспортная маркировка -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14192-77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на мешки манипуляционного знака "Боится сырости".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 транспортную тару наносят маркировку, содержащую следующие данные, характеризующие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5.6. Борную кислоту транспортируют железнодорожным, морским, речным и автомобильным транспортом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 По железной дороге борную кислоту транспортируют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 в пакетированном виде, а также в универсальных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транспортируют пакетами в соответствии с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 скрепления груза в пакетах - по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Габаритные размеры и масса брутто пакетов должны соответствовать </w:t>
      </w:r>
      <w:r w:rsidRPr="005857A6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по согласованию с потребителем отгрузка продукта в непакетированном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Борную кислоту, упакованную в специализированные мягкие контейнеры, транспортируют на открытом подвижном составе в соответствии с техническими условиями погрузки и крепления грузов, утвержденными Министерством путей сообщения СССР, а также на закрытых палубных судах, автомобилях и в транспортных тележках.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 Борную кислоту хранят в закрытых складских помещениях с естественной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Продукт, упакованный в мягкие контейнеры, допускается хранить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борной кислоты требованиям настоящего стандарта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борной кислоты - пять лет со дня изготовления. По истечении гарантийного срока хранения борная кислота перед использованием должна быть проверена на соответствие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857A6" w:rsidRDefault="005857A6" w:rsidP="005857A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(рекомендуемое). ОБЛАСТЬ ПРИМЕНЕНИЯ МАРОК</w:t>
      </w:r>
    </w:p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9"/>
        <w:gridCol w:w="7020"/>
      </w:tblGrid>
      <w:tr w:rsidR="005857A6" w:rsidTr="005857A6">
        <w:trPr>
          <w:trHeight w:val="15"/>
        </w:trPr>
        <w:tc>
          <w:tcPr>
            <w:tcW w:w="3696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5857A6" w:rsidRDefault="005857A6">
            <w:pPr>
              <w:rPr>
                <w:sz w:val="2"/>
                <w:szCs w:val="24"/>
              </w:rPr>
            </w:pPr>
          </w:p>
        </w:tc>
      </w:tr>
      <w:tr w:rsidR="005857A6" w:rsidTr="005857A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марок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5857A6" w:rsidTr="005857A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оптического стекловарения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оптического стекловарения и других специальных целей</w:t>
            </w:r>
          </w:p>
        </w:tc>
      </w:tr>
      <w:tr w:rsidR="005857A6" w:rsidTr="005857A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электролитических конденсаторов</w:t>
            </w:r>
          </w:p>
        </w:tc>
      </w:tr>
      <w:tr w:rsidR="005857A6" w:rsidTr="005857A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стекловолокна, оптических стекол, медицины и других целей</w:t>
            </w:r>
          </w:p>
        </w:tc>
      </w:tr>
      <w:tr w:rsidR="005857A6" w:rsidTr="005857A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7A6" w:rsidRDefault="005857A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стекловарения, производства эмалей и глазурей, буры, удобрений и получения других борсодержащих продуктов</w:t>
            </w:r>
          </w:p>
        </w:tc>
      </w:tr>
    </w:tbl>
    <w:p w:rsidR="005857A6" w:rsidRDefault="005857A6" w:rsidP="005857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5857A6" w:rsidRDefault="00FC651B" w:rsidP="005857A6">
      <w:pPr>
        <w:rPr>
          <w:szCs w:val="15"/>
        </w:rPr>
      </w:pPr>
    </w:p>
    <w:sectPr w:rsidR="00FC651B" w:rsidRPr="005857A6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1794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B089E"/>
    <w:multiLevelType w:val="multilevel"/>
    <w:tmpl w:val="A0F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57F5A"/>
    <w:multiLevelType w:val="multilevel"/>
    <w:tmpl w:val="C99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81869"/>
    <w:multiLevelType w:val="multilevel"/>
    <w:tmpl w:val="5E9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01891"/>
    <w:multiLevelType w:val="multilevel"/>
    <w:tmpl w:val="766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13C29"/>
    <w:multiLevelType w:val="multilevel"/>
    <w:tmpl w:val="755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82772"/>
    <w:multiLevelType w:val="multilevel"/>
    <w:tmpl w:val="D79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B6C32"/>
    <w:multiLevelType w:val="multilevel"/>
    <w:tmpl w:val="30B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576FD"/>
    <w:multiLevelType w:val="multilevel"/>
    <w:tmpl w:val="13F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F2DD6"/>
    <w:multiLevelType w:val="multilevel"/>
    <w:tmpl w:val="48A6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A42F1"/>
    <w:multiLevelType w:val="multilevel"/>
    <w:tmpl w:val="9AB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22D2B"/>
    <w:multiLevelType w:val="multilevel"/>
    <w:tmpl w:val="E7D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91523"/>
    <w:multiLevelType w:val="multilevel"/>
    <w:tmpl w:val="3F3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950D6"/>
    <w:multiLevelType w:val="multilevel"/>
    <w:tmpl w:val="BB4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B66D4"/>
    <w:multiLevelType w:val="multilevel"/>
    <w:tmpl w:val="1F0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400D2"/>
    <w:multiLevelType w:val="multilevel"/>
    <w:tmpl w:val="345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93A76"/>
    <w:multiLevelType w:val="multilevel"/>
    <w:tmpl w:val="027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4"/>
  </w:num>
  <w:num w:numId="3">
    <w:abstractNumId w:val="38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12"/>
  </w:num>
  <w:num w:numId="11">
    <w:abstractNumId w:val="13"/>
  </w:num>
  <w:num w:numId="12">
    <w:abstractNumId w:val="16"/>
  </w:num>
  <w:num w:numId="13">
    <w:abstractNumId w:val="28"/>
  </w:num>
  <w:num w:numId="14">
    <w:abstractNumId w:val="15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1"/>
  </w:num>
  <w:num w:numId="25">
    <w:abstractNumId w:val="33"/>
  </w:num>
  <w:num w:numId="26">
    <w:abstractNumId w:val="22"/>
  </w:num>
  <w:num w:numId="27">
    <w:abstractNumId w:val="24"/>
  </w:num>
  <w:num w:numId="28">
    <w:abstractNumId w:val="7"/>
  </w:num>
  <w:num w:numId="29">
    <w:abstractNumId w:val="21"/>
  </w:num>
  <w:num w:numId="30">
    <w:abstractNumId w:val="10"/>
  </w:num>
  <w:num w:numId="31">
    <w:abstractNumId w:val="27"/>
  </w:num>
  <w:num w:numId="32">
    <w:abstractNumId w:val="26"/>
  </w:num>
  <w:num w:numId="33">
    <w:abstractNumId w:val="42"/>
  </w:num>
  <w:num w:numId="34">
    <w:abstractNumId w:val="17"/>
  </w:num>
  <w:num w:numId="35">
    <w:abstractNumId w:val="41"/>
  </w:num>
  <w:num w:numId="36">
    <w:abstractNumId w:val="25"/>
  </w:num>
  <w:num w:numId="37">
    <w:abstractNumId w:val="36"/>
  </w:num>
  <w:num w:numId="38">
    <w:abstractNumId w:val="14"/>
  </w:num>
  <w:num w:numId="39">
    <w:abstractNumId w:val="35"/>
  </w:num>
  <w:num w:numId="40">
    <w:abstractNumId w:val="32"/>
  </w:num>
  <w:num w:numId="41">
    <w:abstractNumId w:val="40"/>
  </w:num>
  <w:num w:numId="42">
    <w:abstractNumId w:val="39"/>
  </w:num>
  <w:num w:numId="43">
    <w:abstractNumId w:val="37"/>
  </w:num>
  <w:num w:numId="44">
    <w:abstractNumId w:val="4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4D8B"/>
    <w:rsid w:val="00477A04"/>
    <w:rsid w:val="005857A6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513FF"/>
    <w:rsid w:val="00BC7B61"/>
    <w:rsid w:val="00C17942"/>
    <w:rsid w:val="00C91654"/>
    <w:rsid w:val="00CE3CDF"/>
    <w:rsid w:val="00D445F4"/>
    <w:rsid w:val="00D637C8"/>
    <w:rsid w:val="00D71C2F"/>
    <w:rsid w:val="00DA4FBF"/>
    <w:rsid w:val="00DD1738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87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19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00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37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352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1524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532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90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01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9784253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51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175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8951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0422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161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8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301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9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3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67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11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36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374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701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0874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830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44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30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628478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3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139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9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71979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0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3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8015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2017-08-30T11:37:00Z</dcterms:created>
  <dcterms:modified xsi:type="dcterms:W3CDTF">2017-08-30T11:37:00Z</dcterms:modified>
</cp:coreProperties>
</file>