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A" w:rsidRDefault="008F6E8A" w:rsidP="008F6E8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17614-80 Теллур технический. Технические условия (с Изменениями N 1, 2)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17614-80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8F6E8A" w:rsidRDefault="008F6E8A" w:rsidP="008F6E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8F6E8A" w:rsidRDefault="008F6E8A" w:rsidP="008F6E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ТЕЛЛУР ТЕХНИЧЕСКИЙ</w:t>
      </w:r>
    </w:p>
    <w:p w:rsidR="008F6E8A" w:rsidRPr="008F6E8A" w:rsidRDefault="008F6E8A" w:rsidP="008F6E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8F6E8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8F6E8A" w:rsidRPr="008F6E8A" w:rsidRDefault="008F6E8A" w:rsidP="008F6E8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8F6E8A">
        <w:rPr>
          <w:rFonts w:ascii="Arial" w:hAnsi="Arial" w:cs="Arial"/>
          <w:color w:val="3C3C3C"/>
          <w:spacing w:val="1"/>
          <w:sz w:val="22"/>
          <w:szCs w:val="22"/>
          <w:lang w:val="en-US"/>
        </w:rPr>
        <w:t>Tellurium technical.</w:t>
      </w:r>
      <w:proofErr w:type="gramEnd"/>
      <w:r w:rsidRPr="008F6E8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gramStart"/>
      <w:r w:rsidRPr="008F6E8A">
        <w:rPr>
          <w:rFonts w:ascii="Arial" w:hAnsi="Arial" w:cs="Arial"/>
          <w:color w:val="3C3C3C"/>
          <w:spacing w:val="1"/>
          <w:sz w:val="22"/>
          <w:szCs w:val="22"/>
          <w:lang w:val="en-US"/>
        </w:rPr>
        <w:t>Technical requirements.</w:t>
      </w:r>
      <w:proofErr w:type="gramEnd"/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8F6E8A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 17 6992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1983-01-01</w:t>
      </w:r>
    </w:p>
    <w:p w:rsidR="008F6E8A" w:rsidRDefault="008F6E8A" w:rsidP="008F6E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ВНЕСЕН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УТВЕРЖДЕН И ВВЕДЕН В ДЕЙСТВИЕ Постановлением Государственного комитета СССР по стандартам от 19.03.80 N 2190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17614-72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8F6E8A" w:rsidTr="008F6E8A">
        <w:trPr>
          <w:trHeight w:val="15"/>
        </w:trPr>
        <w:tc>
          <w:tcPr>
            <w:tcW w:w="5174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</w:tr>
      <w:tr w:rsidR="008F6E8A" w:rsidTr="008F6E8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8F6E8A" w:rsidTr="008F6E8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2.2; 2.3; 2.4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2.2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12.4.028-76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2228-81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2991-85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5.3; 5.4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3282-74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3560-73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5.3; 5.9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5044-79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5959-80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5.3; 5.4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1.5; 4.1; 4.2; 4.4, 5.4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8273-75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5.2; 5.5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9557-87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9569-79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5.3; 5.5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9816.0-84</w:t>
            </w:r>
            <w:r>
              <w:rPr>
                <w:color w:val="2D2D2D"/>
                <w:sz w:val="15"/>
                <w:szCs w:val="15"/>
              </w:rPr>
              <w:t>-</w:t>
            </w:r>
            <w:r w:rsidRPr="008F6E8A">
              <w:rPr>
                <w:color w:val="2D2D2D"/>
                <w:sz w:val="15"/>
                <w:szCs w:val="15"/>
              </w:rPr>
              <w:t>ГОСТ 9816.5-84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10354-82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12082-82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15102-75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17811-78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18573-86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20435-75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5.3; 5.9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26381-84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</w:t>
            </w:r>
          </w:p>
        </w:tc>
      </w:tr>
      <w:tr w:rsidR="008F6E8A" w:rsidTr="008F6E8A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6E8A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</w:t>
            </w:r>
          </w:p>
        </w:tc>
      </w:tr>
    </w:tbl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 Ограничение срока действия снято по протоколу N 2-92 Межгосударственного Совета по стандартизации, метрологии и сертификации (ИУС 2-93)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ИЗДАНИЕ с Изменениями N 1, 2, утвержденными в июне 1987 г., феврале 1993 г. (ИУС 9-87, 9-93)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технический теллур в виде порошка и слитков, предназначенный для получения теллура высокой чистоты, изготовления баббитов, красок и других целей, а также на теллур, предназначенный на экспорт.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МАРКИ И ТЕХНИЧЕСКИЕ ТРЕБОВАНИЯ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Технический теллур должен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 и химический состав технического теллура должны соответствовать требованиям,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1870"/>
        <w:gridCol w:w="1017"/>
        <w:gridCol w:w="699"/>
        <w:gridCol w:w="865"/>
        <w:gridCol w:w="690"/>
        <w:gridCol w:w="683"/>
        <w:gridCol w:w="531"/>
        <w:gridCol w:w="699"/>
        <w:gridCol w:w="853"/>
        <w:gridCol w:w="689"/>
        <w:gridCol w:w="1189"/>
      </w:tblGrid>
      <w:tr w:rsidR="008F6E8A" w:rsidTr="008F6E8A">
        <w:trPr>
          <w:trHeight w:val="15"/>
        </w:trPr>
        <w:tc>
          <w:tcPr>
            <w:tcW w:w="739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</w:tr>
      <w:tr w:rsidR="008F6E8A" w:rsidTr="008F6E8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состав, %</w:t>
            </w:r>
          </w:p>
        </w:tc>
      </w:tr>
      <w:tr w:rsidR="008F6E8A" w:rsidTr="008F6E8A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Теллур, не менее</w:t>
            </w:r>
          </w:p>
        </w:tc>
        <w:tc>
          <w:tcPr>
            <w:tcW w:w="7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8F6E8A" w:rsidTr="008F6E8A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Селен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На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рий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</w:t>
            </w:r>
            <w:proofErr w:type="gramStart"/>
            <w:r>
              <w:rPr>
                <w:color w:val="2D2D2D"/>
                <w:sz w:val="15"/>
                <w:szCs w:val="15"/>
              </w:rPr>
              <w:t>м-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</w:t>
            </w:r>
            <w:proofErr w:type="gramStart"/>
            <w:r>
              <w:rPr>
                <w:color w:val="2D2D2D"/>
                <w:sz w:val="15"/>
                <w:szCs w:val="15"/>
              </w:rPr>
              <w:t>ю-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миний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лезо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Сумма </w:t>
            </w:r>
            <w:proofErr w:type="spellStart"/>
            <w:r>
              <w:rPr>
                <w:color w:val="2D2D2D"/>
                <w:sz w:val="15"/>
                <w:szCs w:val="15"/>
              </w:rPr>
              <w:t>опред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ляемых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примесей</w:t>
            </w:r>
          </w:p>
        </w:tc>
      </w:tr>
      <w:tr w:rsidR="008F6E8A" w:rsidTr="008F6E8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17 6992 0201 09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</w:tr>
      <w:tr w:rsidR="008F6E8A" w:rsidTr="008F6E8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6992 0203 07*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</w:tr>
      <w:tr w:rsidR="008F6E8A" w:rsidTr="008F6E8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17 6992 0301 06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8F6E8A" w:rsidTr="008F6E8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6992 0302 05*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</w:tr>
      <w:tr w:rsidR="008F6E8A" w:rsidTr="008F6E8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17 6992 0401 03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</w:tr>
      <w:tr w:rsidR="008F6E8A" w:rsidTr="008F6E8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6992 0402 02*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rPr>
                <w:sz w:val="24"/>
                <w:szCs w:val="24"/>
              </w:rPr>
            </w:pPr>
          </w:p>
        </w:tc>
      </w:tr>
    </w:tbl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Массовая доля кремния и алюминия обеспечивается технологией изготовления и определяется периодически. Периодичность определения устанавливается по согласованию изготовителя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Код ОКП - для теллура в порошке.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Технический теллур изготовляют в виде порошка и слитков.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Порошкообразный теллур - порошок темно-серого или черного цвета.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к насыпной плотности порошкообразного теллура устанавливают по согласованию изготовителя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Форма и размеры слитка должны соответствовать черт.1 и табл.2, масса слитка (7±1) кг.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8F6E8A" w:rsidRDefault="008F6E8A" w:rsidP="008F6E8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156460" cy="1528445"/>
            <wp:effectExtent l="19050" t="0" r="0" b="0"/>
            <wp:docPr id="3" name="Рисунок 3" descr="ГОСТ 17614-80 Теллур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7614-80 Теллур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"/>
        <w:gridCol w:w="1162"/>
        <w:gridCol w:w="873"/>
        <w:gridCol w:w="1162"/>
        <w:gridCol w:w="1028"/>
        <w:gridCol w:w="1163"/>
        <w:gridCol w:w="1028"/>
        <w:gridCol w:w="855"/>
        <w:gridCol w:w="1028"/>
        <w:gridCol w:w="1163"/>
      </w:tblGrid>
      <w:tr w:rsidR="008F6E8A" w:rsidTr="008F6E8A">
        <w:trPr>
          <w:trHeight w:val="15"/>
        </w:trPr>
        <w:tc>
          <w:tcPr>
            <w:tcW w:w="1109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F6E8A" w:rsidRDefault="008F6E8A">
            <w:pPr>
              <w:rPr>
                <w:sz w:val="2"/>
                <w:szCs w:val="24"/>
              </w:rPr>
            </w:pPr>
          </w:p>
        </w:tc>
      </w:tr>
      <w:tr w:rsidR="008F6E8A" w:rsidTr="008F6E8A"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ГОСТ 17614-80 Теллур технический. Технические условия (с Изменениями N 1, 2)" style="width:6.45pt;height:14.5pt"/>
              </w:pic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29" type="#_x0000_t75" alt="ГОСТ 17614-80 Теллур технический. Технические условия (с Изменениями N 1, 2)" style="width:9.65pt;height:17.2pt"/>
              </w:pic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0" type="#_x0000_t75" alt="ГОСТ 17614-80 Теллур технический. Технические условия (с Изменениями N 1, 2)" style="width:9.65pt;height:14.5pt"/>
              </w:pic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1" type="#_x0000_t75" alt="ГОСТ 17614-80 Теллур технический. Технические условия (с Изменениями N 1, 2)" style="width:12.35pt;height:17.2pt"/>
              </w:pic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2" type="#_x0000_t75" alt="ГОСТ 17614-80 Теллур технический. Технические условия (с Изменениями N 1, 2)" style="width:9.65pt;height:14.5pt"/>
              </w:pict>
            </w:r>
          </w:p>
        </w:tc>
      </w:tr>
      <w:tr w:rsidR="008F6E8A" w:rsidTr="008F6E8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Номин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ткл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Номин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ткл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Номин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ткл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Номин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ткл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Номин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ткл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8F6E8A" w:rsidTr="008F6E8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E8A" w:rsidRDefault="008F6E8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</w:t>
            </w:r>
          </w:p>
        </w:tc>
      </w:tr>
    </w:tbl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 Порошкообразный теллур всех марок должен проходить через сито с сеткой 1К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. В теллуре не должно быть инородных включений и комков. Допускается применение сеток нормальной точности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требованию потребителя теллур, предназначенный для изготовления красок, должен проходить через сито с сеткой 063К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1.4, 1.5.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Технический теллур относится к веществам чрезвычайно опасным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при нахождении в агрегатном состоянии - аэрозоль. Вид опасности - отравление.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Технический теллур, попадая в организм человека через дыхательные пути или кожу, вызывает хроническое воспаление суставов, заболевание костей, хронический бронхит, нервные расстройства, болезни печени, изменение эмали зубов.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Теллур относится к веществам 1-го класса опасности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 Вид опасности - отравление аэрозолями теллура.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Предельно допускаемая концентрация (ПДК) теллура в воздухе рабочей зоны - 0,01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17614-80 Теллур технически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воздушной среды производственных помещений на содержание теллура должен проводиться в соответствии с нормативно-технической документацией и графиком, утвержденным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Производственные помещения и лаборатории, в которых проводится работа с теллуром, должны быть оборудованы приточно-вытяжной вентиляцией, обеспечивающей содержание теллура в воздухе рабочей зоны в соответствии с требованиями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Складские помещения должны быть оборудованы приточно-вытяжной вентиляцией в соответствии с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2.7. Все работающие с теллуром должны быть обеспечены санитарно-бытовыми помещениями и спецодеждой в соответствии с правилами, утвержденными в установленном порядке в соответствии с нормативно-технической документацией.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2.8. Для защиты органов дыхания должны применяться респиратор типа "Лепесток"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12.4.028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ватно-марлевая повязка.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2.7, 2.8.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2.9. Утилизация, обезвреживание и уничтожение отходов от производства теллура проводится в соответствии с нормативно-технической документацией.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 Технический теллур принимается партиями.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Партия должна состоять из теллура одной марки, одного вида и оформлена одним документом о качестве, удостоверяющим соответствие продукта требованиям настоящего стандарта,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наименование продукции и ее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испытаний;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мест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Для контроля химического состава, насыпной плотности и крупности порошкообразного теллура отбирают не менее 1 кг от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Насыпная плотность порошкообразного теллура контролируется по согласованию изготовителя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Для контроля массы и химического состава теллура в слитках отбирают 10% слитков от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Для контроля химического состава на предприятии-изготовителе допускается отбор проб от жидкого теллура во время разлива.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В теллуре марки 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массовую долю серебра и олова определяют в каждой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При получении неудовлетворительных результатов анализа хотя бы по одному из показателей проводят испытания удвоенного количества проб, взятых от той же выборки. Результаты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3.5, 3.6.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ИСПЫТАНИЙ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От каждой единицы упаковки порошкообразного теллура механическим пробоотборником или щупом диаметром 20-25 мм отбирают пробу в трех точках, погрузив пробоотборник или щуп на всю глубину единицы упаковки. Точечные пробы объединяют, тщательно перемешивают, сокращают до массы 1 кг и просеивают через сито с сеткой 1К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Просеянную пробу перемешивают, сокращают до 100 г, измельчают, просеивают через сито с сеткой 014К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делят на две части. Одна часть пробы предназначена для определения химического состава, другая - хранится в закрытой таре в течение 3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случай разногласий в оценке качества.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Каждый отобранный слиток сверлят сверлом диаметром 10-15 мм: сверху на 2/5 глубины слитка в трех точках, расположенных по диагонали прямоугольной поверхности слитка в центре и на расстоянии 1/4 длины диагонали от углов; снизу на 3/5 глубины слитка в двух точках, расположенных по той же диагонали на расстоянии 1/3 длины диагонали от углов.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Полученную стружку измельчают, просеивают через сито с сеткой 0355К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, тщательно перемешивают и сокращают до массы 100 г. Сокращенную пробу измельчают, просеивают через сито с сеткой 014К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перемешивают, обрабатывают магнитом и делят на две части. Одна часть пробы предназначена для определения химического состава, другая хранится в закрытой таре в течение 3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случай разногласий в оценке качества.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Химический состав технического теллура определяют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9816.0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9816.5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Допускаются другие методы анализа, не уступающие по точности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стандартным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При разногласиях в оценке химического состава примесей в техническом теллуре применяют методы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9816.0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9816.5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4.2, 4.3.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Для определения крупности порошкообразного теллура берут 0,5 кг от объединенной пробы и просеивают через сита с сетками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 Для определения насыпной плотности порошкообразного теллура от объединенной пробы берут навеску массой 200-250 г. Насыпную плотность определяют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волюмометром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Скотта (черт.2).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8F6E8A" w:rsidRDefault="008F6E8A" w:rsidP="008F6E8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360930" cy="3541395"/>
            <wp:effectExtent l="19050" t="0" r="1270" b="0"/>
            <wp:docPr id="10" name="Рисунок 10" descr="ГОСТ 17614-80 Теллур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7614-80 Теллур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35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воронка из белой жести толщиной 0,25 мм; 2 - бункер с пластинами из органического стекла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Чистый сухой стакан с ровными краями высотой 40 мм и диаметром 25 мм следует наполнить до краев водой из бюретки при температуре окружающей среды (20±1)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воды в мл, израсходованное из бюретки на наполнение, соответствует объему стакана в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17614-80 Теллур технически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Воду выливают, стакан высушивают, взвешивают на технических весах с погрешностью до 0,01 г и устанавливают под воронкой прибора.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порошка ссыпают по стенкам воронки с высоты около 20 мм в течение 10-12 с, пока порошок полностью не заполнит стакан и не начнет высыпаться из него.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уплотняя порошка, снимают его избыток металлической или стеклянной пластинкой, проводя по краям стакана; стакан после этого взвешивают на технических весах с погрешностью до 0,01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4.5.2. Насыпную плотность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17614-80 Теллур технический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17614-80 Теллур технически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16280" cy="389255"/>
            <wp:effectExtent l="19050" t="0" r="7620" b="0"/>
            <wp:docPr id="14" name="Рисунок 14" descr="ГОСТ 17614-80 Теллур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7614-80 Теллур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17614-80 Теллур технический. Технические условия (с Изменениями N 1, 2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стакана с порошком,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17614-80 Теллур технический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пустого стакана,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17614-80 Теллур технический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стакана,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17614-80 Теллур технически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окончательный результат принимают среднеарифметическое значение результатов двух параллельных определений, расхождение которых не должно превышать 0,02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17614-80 Теллур технически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слитка определяется взвешиванием на весах с погрешностью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Проверку слитков на соответствие требованиям п.1.4 проводят линейными средствами измерения с ценой деления 1 мм или шаблоном.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Проверку внешнего вида теллура проводят осмотром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МАРКИРОВКА, УПАКОВКА, ТРАНСПОРТИРОВАНИЕ И ХРАНЕНИЕ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На каждом слитке должна быть отлита марка металла или приклеена этикетка с обозначением марки теллура.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Каждый слиток должен быть завернут в оберточную бумагу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8273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2228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Порошкообразный теллур должен быть упакован в полиэтиленовый мешок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17811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двойные или одинарные мешки из полиэтиленовой пленки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color w:val="2D2D2D"/>
          <w:spacing w:val="1"/>
          <w:sz w:val="15"/>
          <w:szCs w:val="15"/>
        </w:rPr>
        <w:t>. Толщины пленки для двойных мешков не менее 0,060 мм, одинарных не менее 0,120 мм. Мешки с порошком должны быть заварены и помещены в ящики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5959</w:t>
      </w:r>
      <w:r>
        <w:rPr>
          <w:rFonts w:ascii="Arial" w:hAnsi="Arial" w:cs="Arial"/>
          <w:color w:val="2D2D2D"/>
          <w:spacing w:val="1"/>
          <w:sz w:val="15"/>
          <w:szCs w:val="15"/>
        </w:rPr>
        <w:t> (типы III, IV, V, VI) или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 (типы II-1, II-2). Ящики должны быть скреплены в соответствии с требованиями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 стальной лентой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3560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проволокой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3282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упаковка порошкообразного теллура в стальные оцинкованные барабаны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5044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БТ ПБ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17614-80 Теллур технический. Технические условия (с Изменениями N 1, 2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 пропаянными швами. Сверху порошок должен быть закрыт парафинированной бумагой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9569</w:t>
      </w:r>
      <w:r>
        <w:rPr>
          <w:rFonts w:ascii="Arial" w:hAnsi="Arial" w:cs="Arial"/>
          <w:color w:val="2D2D2D"/>
          <w:spacing w:val="1"/>
          <w:sz w:val="15"/>
          <w:szCs w:val="15"/>
        </w:rPr>
        <w:t>, крышка барабана должна быть припаяна к корпусу по всей образующей.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брутто ящика или барабана должна быть не более 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Теллур в слитках должен быть упакован в деревянные ящики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5959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Промежутки между слитками заполняют бумагой или другим материалом, не допускающим загрязнения теллура.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ящика брутто должна быть не более 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Порошкообразный теллур, предназначенный для длительного хранения, должен быть упакован с уплотнением в стальные оцинкованные барабаны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5044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 БТ ПБ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17614-80 Теллур технический. Технические условия (с Изменениями N 1, 2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массой нетто не более 40 кг с пропаянными швами, обеспечивающими герметичность. Сверху слой порошка должен быть закрыт парафинированной бумагой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9569</w:t>
      </w:r>
      <w:r>
        <w:rPr>
          <w:rFonts w:ascii="Arial" w:hAnsi="Arial" w:cs="Arial"/>
          <w:color w:val="2D2D2D"/>
          <w:spacing w:val="1"/>
          <w:sz w:val="15"/>
          <w:szCs w:val="15"/>
        </w:rPr>
        <w:t>. Барабан закрывают оцинкованной стальной крышкой, которую герметично припаивают к корпусу по всей образующей и помещают в деревянный ящик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18573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деревянную обрешетку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12082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 каждый ящик или барабан следует наносить маркировку при помощи трафарета несмываемой краской или наклеивать или прикреплять ярлык 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товарного знака или 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продукции и ее марки;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массы нетто и брутто;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упаковочной единицы (для теллура, предназначенного для длительного хранения);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даты изготовления;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Ярлык с результатами химического анализа теллура, предназначенного для длительного хранения, должен быть наклеен непосредственно на барабан.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5.3-5.6.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 Транспортная маркировка -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 На упаковку порошкообразного теллура следует наносить манипуляционный знак "Герметичная упаковка".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Технический теллур при транспортировании неопасен и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не классифицируется.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5.8. Маркировку теллура, предназначенного для длительного хранения, необходимо выполнять несмываемой краской.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 Технический теллур транспортируют транспортом всех видов в крытых транспортных средствах в соответствии с правилами перевозки грузов, действующими на транспорте данного вида или почтовыми посылками в соответствии с правилами Министерства связи СССР. При транспортировании железнодорожным транспортом - мелкими и малотоннажными отправками.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Теллур транспортируют в контейнерах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20435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15102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пакетами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пакетировании должны использоваться плоские деревянные поддоны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9557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деревянные бруски сечением 70x70 мм, или поддоны одноразового использования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26381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металлические поддоны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Средства скрепления пакетов -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Габаритные размеры пакета -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пакета - не более 1250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транспортировании теллура мелкими отправками торцы ящиков обивают упаковочной лентой по </w:t>
      </w:r>
      <w:r w:rsidRPr="008F6E8A">
        <w:rPr>
          <w:rFonts w:ascii="Arial" w:hAnsi="Arial" w:cs="Arial"/>
          <w:color w:val="2D2D2D"/>
          <w:spacing w:val="1"/>
          <w:sz w:val="15"/>
          <w:szCs w:val="15"/>
        </w:rPr>
        <w:t>ГОСТ 3560</w:t>
      </w:r>
      <w:r>
        <w:rPr>
          <w:rFonts w:ascii="Arial" w:hAnsi="Arial" w:cs="Arial"/>
          <w:color w:val="2D2D2D"/>
          <w:spacing w:val="1"/>
          <w:sz w:val="15"/>
          <w:szCs w:val="15"/>
        </w:rPr>
        <w:t>, скрепленной внахлестку, при железнодорожных перевозках - в замок. При транспортировании почтовыми посылками торцы ящиков стальной упаковочной лентой не обивают.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5.10. Теллур должен храниться в закрытом помещении.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5.11. Слитки и порошок теллура, предназначенного на экспорт, сопровождают документацией в соответствии с заказом-нарядом внешнеторгового объединения.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ГАРАНТИЯ ИЗГОТОВИТЕЛЯ</w:t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гарантирует соответствие теллура требованиям настоящего стандарта при соблюдении условий транспортирования и хранения, установленных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порошкообразного теллура - 7 лет с момента изготовления, теллура в слитках - без ограничения.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F6E8A" w:rsidRDefault="008F6E8A" w:rsidP="008F6E8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8F6E8A" w:rsidRDefault="00177C25" w:rsidP="008F6E8A">
      <w:pPr>
        <w:rPr>
          <w:szCs w:val="15"/>
        </w:rPr>
      </w:pPr>
    </w:p>
    <w:sectPr w:rsidR="00177C25" w:rsidRPr="008F6E8A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7135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4415E"/>
    <w:multiLevelType w:val="multilevel"/>
    <w:tmpl w:val="02F0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23F28"/>
    <w:multiLevelType w:val="multilevel"/>
    <w:tmpl w:val="408C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D2F60"/>
    <w:multiLevelType w:val="multilevel"/>
    <w:tmpl w:val="6194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516ECB"/>
    <w:multiLevelType w:val="multilevel"/>
    <w:tmpl w:val="5254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649FD"/>
    <w:multiLevelType w:val="multilevel"/>
    <w:tmpl w:val="64D2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84E56"/>
    <w:multiLevelType w:val="multilevel"/>
    <w:tmpl w:val="225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423E2"/>
    <w:multiLevelType w:val="multilevel"/>
    <w:tmpl w:val="78BC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B3F60"/>
    <w:multiLevelType w:val="multilevel"/>
    <w:tmpl w:val="0150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4"/>
  </w:num>
  <w:num w:numId="5">
    <w:abstractNumId w:val="18"/>
  </w:num>
  <w:num w:numId="6">
    <w:abstractNumId w:val="12"/>
  </w:num>
  <w:num w:numId="7">
    <w:abstractNumId w:val="11"/>
  </w:num>
  <w:num w:numId="8">
    <w:abstractNumId w:val="5"/>
  </w:num>
  <w:num w:numId="9">
    <w:abstractNumId w:val="20"/>
  </w:num>
  <w:num w:numId="10">
    <w:abstractNumId w:val="7"/>
  </w:num>
  <w:num w:numId="11">
    <w:abstractNumId w:val="8"/>
  </w:num>
  <w:num w:numId="12">
    <w:abstractNumId w:val="10"/>
  </w:num>
  <w:num w:numId="13">
    <w:abstractNumId w:val="19"/>
  </w:num>
  <w:num w:numId="14">
    <w:abstractNumId w:val="9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15"/>
  </w:num>
  <w:num w:numId="21">
    <w:abstractNumId w:val="16"/>
  </w:num>
  <w:num w:numId="22">
    <w:abstractNumId w:val="21"/>
  </w:num>
  <w:num w:numId="23">
    <w:abstractNumId w:val="26"/>
  </w:num>
  <w:num w:numId="24">
    <w:abstractNumId w:val="14"/>
  </w:num>
  <w:num w:numId="25">
    <w:abstractNumId w:val="6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B41C0"/>
    <w:rsid w:val="008E615F"/>
    <w:rsid w:val="008F6E8A"/>
    <w:rsid w:val="0095551E"/>
    <w:rsid w:val="00A7135C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905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83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0977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1905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8170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56827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034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09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754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667261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48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143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794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7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63226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464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8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2017-08-10T12:05:00Z</dcterms:created>
  <dcterms:modified xsi:type="dcterms:W3CDTF">2017-08-10T12:05:00Z</dcterms:modified>
</cp:coreProperties>
</file>