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8D" w:rsidRDefault="008C3C8D" w:rsidP="008C3C8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17607-72 Никеля закись. Технические условия (с Изменениями N 1, 2, 3, 4)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17607-72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НИКЕЛЯ ЗАКИСЬ</w:t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Nickel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protoxide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17 3242 0001 08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1973-07-01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Клементьев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В.В.,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Галактионов Б.Г.,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 (руководители темы);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Винницкая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Е.Г.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04.04.72 N 682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8C3C8D" w:rsidTr="008C3C8D">
        <w:trPr>
          <w:trHeight w:val="15"/>
        </w:trPr>
        <w:tc>
          <w:tcPr>
            <w:tcW w:w="5359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</w:tr>
      <w:tr w:rsidR="008C3C8D" w:rsidTr="008C3C8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8C3C8D" w:rsidTr="008C3C8D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12.0.004-90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1а.7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1а.6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1a.1; 1a.6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1а.6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12.3.002-75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1а.8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1а.9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12.4.011-89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1а.5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1а.6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1a.5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12.4.041-89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1a.5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1a.5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4223-75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10484-78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13047.1-81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13047.3-81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13047.4-81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13047.6-81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13047.7-81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13047.14-81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13047.16-81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13047.17-81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15908-70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18225-72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lastRenderedPageBreak/>
              <w:t>ГОСТ 19667-74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C3C8D" w:rsidTr="008C3C8D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C3C8D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</w:tbl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 (ноябрь 1991 г.) с Изменениями N 1, 2, 3, 4, утвержденными в августе 1980 г., марте 1983 г., июле 1985 г., июне 1990 г. (ИУС 10-80, 7-83, 10-85, 9-90)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порошкообразную закись никеля, применяемую на предприятиях, изготовляющих эмалированные изделия.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- 74,709.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Закись никеля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Закись никеля должна изготовляться в виде порошка с размером частиц не более 0,5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"/>
        <w:gridCol w:w="7708"/>
        <w:gridCol w:w="2423"/>
      </w:tblGrid>
      <w:tr w:rsidR="008C3C8D" w:rsidTr="008C3C8D">
        <w:trPr>
          <w:trHeight w:val="15"/>
        </w:trPr>
        <w:tc>
          <w:tcPr>
            <w:tcW w:w="370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</w:tr>
      <w:tr w:rsidR="008C3C8D" w:rsidTr="008C3C8D"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8C3C8D" w:rsidTr="008C3C8D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никеля и кобальта (сумма),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кобальта,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железа,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меди,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серы,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окислов металлов (алюминия, кремния, магния),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8C3C8D" w:rsidTr="008C3C8D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ковких крупинок закиси никеля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 по п.3.11</w:t>
            </w:r>
          </w:p>
        </w:tc>
      </w:tr>
    </w:tbl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согласованию с потребителем допускается массовая доля ковких крупинок закиси никеля не более 0,01%.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1а.1. Пыль закиси никеля обладает канцерогенным действием, оказывает влияние на кроветворение, углеводный обмен; класс опасности 1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; предельно допустимая концентрация в воздухе рабочей зоны производственных помещений (в пересчете на никель) 0,05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нормам, утвержденным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Предельно допустимая концентрация никеля в воде водоемов санитарно-бытового пользования - 0,1 мг/дм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нормам, утвержденным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Закись никеля обезвреживанию и уничтожению не подлежит. Просыпавшийся продукт после сухой и последующей влажной уборки утилизируют в технологических процессах производства никеля.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1а.4. Закись никеля при нормальных условиях не горюча,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взрывобезопасна, в воздушной среде и сточных водах в присутствии других веществ токсичные соединения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1а.5. Работающие с закисью никеля должны быть обеспечены средствами индивидуальной защиты в соответствии с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защиты органов дыхания должны применяться в зависимости от концентрации фильтрующие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противоаэрозольные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респираторы 2-й и 1-й степени защиты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12.4.011-89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ГОСТ 12.4.034-85*,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12.4.041-89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12.4.034-2001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12.4.041-2001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1а.6. Работающие с закисью никеля должны быть обеспечены бытовыми помещениями, снабженными устройствами по группе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производственных процессов по нормам и правилам, утвержденным Госстроем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и лабораторные помещения, в которых проводятся работы с закисью никеля, должны быть оснащены приточно-вытяжной вентиляцией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воздуха рабочей зоны в соответствии с требованиями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состоянием воздуха рабочей зоны производят в соответствии с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методикам, утвержденным Министерством здравоохранения СССР и соответствующим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12.1.016-79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1а.7. Каждый работающий с закисью никеля должен пройти обучение в соответствии с ГОСТ 12.0.004-79*.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1а.8. Анализ закиси никеля должен выполняться в соответствии с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12.3.002-75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нормативно-техническими документами по безопасному выполнению работ в условиях лаборатории,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1а.9. При нагрузке и разгрузке закиси никеля должны соблюдаться требования безопасности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закись никеля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Закись никеля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партию включают продукт, однородный по своим качественным показателям, в количестве не более 10 т, одновременно отправляемом в один адрес и сопровождаемом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партии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число упаковочных единиц партии;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Объединенную пробу закиси никеля отбирают по массе не менее 1% от партии. Количество упаковочных единиц, из которых должны быть взяты пробы, указаны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отбирать пробы непосредственно с потока через равные промежутки времени в течение всей погрузки, разгрузки партии готового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6"/>
        <w:gridCol w:w="3560"/>
        <w:gridCol w:w="5233"/>
      </w:tblGrid>
      <w:tr w:rsidR="008C3C8D" w:rsidTr="008C3C8D">
        <w:trPr>
          <w:trHeight w:val="15"/>
        </w:trPr>
        <w:tc>
          <w:tcPr>
            <w:tcW w:w="1848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</w:tr>
      <w:tr w:rsidR="008C3C8D" w:rsidTr="008C3C8D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упаковочных единиц в контролируемой партии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упаковочных единиц, из которых должны быть взяты пробы</w:t>
            </w:r>
          </w:p>
        </w:tc>
      </w:tr>
      <w:tr w:rsidR="008C3C8D" w:rsidTr="008C3C8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6 " 15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16 " 35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36 " 60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61 " 99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100 " 149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8C3C8D" w:rsidTr="008C3C8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150 " 199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</w:tbl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удвоенного количества проб, взятых от той же партии. Результаты повторных анализов считаются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Точечную пробу закиси никеля отбирают при помощи щупа, состоящего из двух трубок - наружной и внутренней. Наружная трубка должна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иметь закрытый торец и снабжена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щелеобразной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шлицей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всей длине погружения щупа.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трубка должна иметь одну или несколько шлиц, расположенных так, чтобы при вращении трубок в разные стороны по отношению друг к другу шлицы могли открываться и закрываться. Трубки должны свободно входить одна в другую так, чтобы попадание между ними даже самых крупных частиц не мешало вращению.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барабан, мешок или бочку щуп вводят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7607-72 Никеля закись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упаковочной единицы при закрытых шлицах. Когда щуп достигает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7607-72 Никеля закись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упаковочной единицы, шлицы нужно открывать так, чтобы щуп заполнялся порошком по всей длине шлицы, после чего шлицы закрывают и содержимое его высыпают в сборник для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Отобранную объединенную пробу сокращают с помощью делителя. В этом случае закись никеля из засыпного устройства ссыпают равномерно в камеры левого и правого сборников.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Объединенную пробу сокращают до массы не менее 0,5 кг. Полученную среднюю лабораторную пробу делят на две части, из них одну часть растирают до 0,15 мм и направляют на химический анализ, вторую часть - на качественное определение содержания сплошных зерен металлического никеля.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Приготовление анализируемого раствора для определения никеля, кобальта, железа, меди, алюминия,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плотностью 1,38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кислый сернокислый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4223-75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(плавиковая кислота)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хлорная плотностью 1,60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Химическая обработка пробы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массовой доли никеля и кобальта берут отдельные навески пробы соответственно по 1 г. Для определения массовой доли железа, меди, алюминия берут общую навеску, равную 1 г. Полученные навески разлагают следующим образом: пробу, взвешенную с точностью до 0,0002 г, растворяют в стакане вместимостью 200-300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при нагревании в течение 10-15 мин. Затем приливают 10-20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продолжают нагревание, закрыв стакан часовым стеклом. После растворения основной массы стекло снимают и обмывают его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Осторожно к пробе приливают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упаривают раствор до начала выделения паров серного ангидрида. Охлаждают, обмывают стенки стакана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упаривают до начала выделения паров серного ангидрида. После охлаждения приливают около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Если остался нерастворимый остаток, его отфильтровывают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доплавляют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кислым сернокислым калием. Для этого остаток на фильтре промывают горячей водой, подсушивают, переносят с фильтром в платиновый тигель, 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прокаливают. Осадок смачивают несколькими каплями воды, приливают 2-3 капли серной кислоты,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плавиковой кислоты, нагревают и выпаривают досуха. Сухой остаток сплавляют с небольшим количеством кислого сернокислого калия (0,2-0,3 г).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теплой воде, подкисленной серной кислотой, и присоединяют к основному раствору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 определении железа, меди, алюминия раствор А, полученный из отдельной навески,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объем раствора доводят до метки водой - раствор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никеля проводят по ГОСТ 13047.1-81* (разд.2). При этом для анализа берут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(п.3.2), переводят в стакан для электролиза, прибавляют 3 г сернокислого аммония и подвергают электролизу.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13047.1-2002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13047.2-2002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кобальта проводят по ГОСТ 13047.6-81* (разд.4). При этом для анализа берут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(п.3.2).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13047.4-2002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3.2.1-3.4.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железа проводят по ГОСТ 13047.14-81* (разд.3). При этом для анализа берут аликвотную часть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(п.3.2), равную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аликвотную часть, содержащую 10-100 мкг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13047.17-2002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меди проводят по ГОСТ 13047.7-81* (разд.2). При этом для анализа берут аликвотную часть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(п.3.2), равную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аликвотную часть, содержащую 10-100 мкг меди.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13047.10-2002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серы проводят по ГОСТ 13047.3-81* (разд.3).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13047.7-2002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3.8. Определение массовой доли алюминия проводят по ГОСТ 13047.16-81* (разд.2). При этом для анализа берут аликвотную часть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(п.3.2), равную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 проводят электролиз с ртутным катодом;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аликвотную часть, содержащую 10-100 мкг алюминия.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13047.19-2002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результатов параллельных определений, характеризующие сходимость метода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7607-72 Никеля закись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результатов основного и повторного анализов, характеризующие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7607-72 Никеля закись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не должны превышать значений, приведенных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кремния проводят по ГОСТ 13047.4-81* (разд.3). При этом 1,0000-2,0000 г пробы разлагают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хлорной кислоты. Нерастворимый остаток сплавляют с 0,3-0,5 г смеси углекислого калия-натрия и выщелачивают водой. Объединенные растворы упаривают до появления белых паров (в течение 15 мин).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13047.8-2002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результатов параллельных определений, характеризующие сходимость метода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7607-72 Никеля закись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результатов основного и повторного анализов, характеризующие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7607-72 Никеля закись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не должны превышать значений, приведенных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магния проводят по ГОСТ 13047.17-81* (разд.2). При этом 1,0000 г пробы растворяют при нагревании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кислоты. После прекращения реакции растворения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продолжают растворение,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фтористоводородной кислоты, кипятят 5 мин,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хлорной кислоты и упаривают до обильных паров.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13047.20-2002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результатов параллельных определений, характеризующие сходимость метода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7607-72 Никеля закись. Технические условия (с Изменениями N 1, 2, 3, 4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результатов основного и повторного анализов, характеризующие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7607-72 Никеля закись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не должны превышать значений, приведенных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365"/>
        <w:gridCol w:w="2195"/>
        <w:gridCol w:w="2019"/>
      </w:tblGrid>
      <w:tr w:rsidR="008C3C8D" w:rsidTr="008C3C8D">
        <w:trPr>
          <w:trHeight w:val="15"/>
        </w:trPr>
        <w:tc>
          <w:tcPr>
            <w:tcW w:w="3142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C3C8D" w:rsidRDefault="008C3C8D">
            <w:pPr>
              <w:rPr>
                <w:sz w:val="2"/>
                <w:szCs w:val="24"/>
              </w:rPr>
            </w:pPr>
          </w:p>
        </w:tc>
      </w:tr>
      <w:tr w:rsidR="008C3C8D" w:rsidTr="008C3C8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элемента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расхождения, %</w:t>
            </w:r>
          </w:p>
        </w:tc>
      </w:tr>
      <w:tr w:rsidR="008C3C8D" w:rsidTr="008C3C8D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17607-72 Никеля закись. Технические условия (с Изменениями N 1, 2, 3, 4)" style="width:11.3pt;height:14.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17607-72 Никеля закись. Технические условия (с Изменениями N 1, 2, 3, 4)" style="width:12.9pt;height:12.9pt"/>
              </w:pict>
            </w:r>
          </w:p>
        </w:tc>
      </w:tr>
      <w:tr w:rsidR="008C3C8D" w:rsidTr="008C3C8D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0,25 до 0,50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8C3C8D" w:rsidTr="008C3C8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0,50 до 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8C3C8D" w:rsidTr="008C3C8D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0,50 до 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8C3C8D" w:rsidTr="008C3C8D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0,50 до 1,00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C3C8D" w:rsidRDefault="008C3C8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</w:tbl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ковких крупинок закиси никеля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присутствия ковких крупинок закиси никеля, свидетельствующих о наличии сплошных, сплавленных частиц металлического никеля, берут от одной из частей сокращенной общей пробы навеску 15 г, помещают ее в фарфоровую, агатовую или металлическую ступку, растирают в течение 5 мин и просеивают через сито с сеткой N 025К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. Если на сетке остаются крупинки, притягивающиеся к магниту, то результат анализа считают отрицательным.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наличие ковких крупинок закиси никеля. Их массовая доля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7607-72 Никеля закись. Технические условия (с Изменениями N 1, 2, 3, 4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вычисляется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36" name="Рисунок 36" descr="ГОСТ 17607-72 Никеля за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7607-72 Никеля за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7607-72 Никеля за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крупинок, притягивающихся к магниту с сетки после просеивания,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7607-72 Никеля закись. Технические условия (с Изменениями N 1, 2, 3, 4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пробы,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3.8-3.11.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Допускается проводить анализы другими методами, обеспечивающими точность определения в пределах,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результатов анализы проводят по пп.3.3-3.11.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Закись никеля упаковывают в трех-, пятислойные бумажные мешки по ГОСТ 2226-75, которые затем вкладывают в полиэтиленовые мешки N 1, 5, 6, 7, 8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основой из вискозных нитей по ГОСТ 18225-72, а затем в специализированные контейнеры типа СК-3-5 (КГ-5)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19667-74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СК-3-1,5 (КШМК-5М) по нормативно-технической документации.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помещать мешки в металлические бочки по ГОСТ 15908-70 или деревянные бочки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стальные барабаны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вместимостью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7607-72 Никеля за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партии менее 3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Полиэтиленовые мешки запаивают, бумажные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зашивают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мешка не должна превышать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 ГОСТ 14192-77* с нанесением знаков опасности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9, подкласс 9.2, классификационный шифр 923.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 наносят маркировку, содержащую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Закись никеля транспортируют транспортом всех видов в соответствии с правилами перевозок (опасных)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Продукт, упакованный в специализированные контейнеры, транспортируют по железной дороге на открытом подвижном составе; погрузка и крепление контейнеров осуществляется по условиям погрузки и крепления грузов, утвержденным Министерством путей сообщения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Закись никеля, упакованная в бочки и барабаны, должна транспортироваться грузовыми пакетами в соответствии с правилами перевозки грузов МПС СССР,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применением поддонов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9078-84</w:t>
      </w:r>
      <w:r>
        <w:rPr>
          <w:rFonts w:ascii="Arial" w:hAnsi="Arial" w:cs="Arial"/>
          <w:color w:val="2D2D2D"/>
          <w:spacing w:val="1"/>
          <w:sz w:val="15"/>
          <w:szCs w:val="15"/>
        </w:rPr>
        <w:t>. Средства скрепления грузов в транспортные пакеты - по </w:t>
      </w:r>
      <w:r w:rsidRPr="008C3C8D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C3C8D" w:rsidRDefault="008C3C8D" w:rsidP="008C3C8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Закись никеля должна храниться в упакованном виде в сухом закрытом помещении склада изготовителя,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8134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C0E65"/>
    <w:multiLevelType w:val="multilevel"/>
    <w:tmpl w:val="B27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61BD3"/>
    <w:multiLevelType w:val="multilevel"/>
    <w:tmpl w:val="3C0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54998"/>
    <w:multiLevelType w:val="multilevel"/>
    <w:tmpl w:val="45B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56E46"/>
    <w:multiLevelType w:val="multilevel"/>
    <w:tmpl w:val="87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15FD2"/>
    <w:multiLevelType w:val="multilevel"/>
    <w:tmpl w:val="80F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04287"/>
    <w:multiLevelType w:val="multilevel"/>
    <w:tmpl w:val="D7F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F4EBD"/>
    <w:multiLevelType w:val="multilevel"/>
    <w:tmpl w:val="B91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A4327"/>
    <w:multiLevelType w:val="multilevel"/>
    <w:tmpl w:val="DDE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7"/>
  </w:num>
  <w:num w:numId="6">
    <w:abstractNumId w:val="12"/>
  </w:num>
  <w:num w:numId="7">
    <w:abstractNumId w:val="11"/>
  </w:num>
  <w:num w:numId="8">
    <w:abstractNumId w:val="5"/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9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23"/>
  </w:num>
  <w:num w:numId="22">
    <w:abstractNumId w:val="15"/>
  </w:num>
  <w:num w:numId="23">
    <w:abstractNumId w:val="18"/>
  </w:num>
  <w:num w:numId="24">
    <w:abstractNumId w:val="16"/>
  </w:num>
  <w:num w:numId="25">
    <w:abstractNumId w:val="22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C3C8D"/>
    <w:rsid w:val="008E615F"/>
    <w:rsid w:val="0095551E"/>
    <w:rsid w:val="00A716F7"/>
    <w:rsid w:val="00A8134F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74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5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98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2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139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88692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850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6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182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5609696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9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13669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057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67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2017-08-11T15:44:00Z</dcterms:created>
  <dcterms:modified xsi:type="dcterms:W3CDTF">2017-08-11T15:44:00Z</dcterms:modified>
</cp:coreProperties>
</file>