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03" w:rsidRDefault="00444F03" w:rsidP="00444F0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1692-85 Известь хлорная. Технические условия (с Изменениями N 1, 2)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1692-85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444F03" w:rsidRDefault="00444F03" w:rsidP="00444F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ИЗВЕСТЬ ХЛОРНАЯ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Chlorinated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lime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4712 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1987.01.01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1997.01.01*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протоколу N 7-95 Межгосударственного Совета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стандартизации, метрологии и сертификации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(ИУС N 11, 1995 год). </w:t>
      </w:r>
    </w:p>
    <w:p w:rsidR="00444F03" w:rsidRDefault="00444F03" w:rsidP="00444F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 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ИСПОЛНИТЕЛИ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П.Е.Бочков,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В.А.Пахомов,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Л.А.Михайлов,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З.М.Ривина, канд. хим.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Н.И.Лозбень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Е.Г.Фарфель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М.Л.Михель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П.Л.Резник;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Г.М.Шефер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Г.М.Соболева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30 октября 1985 г. N 3506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1692-58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881"/>
      </w:tblGrid>
      <w:tr w:rsidR="00444F03" w:rsidTr="00444F03">
        <w:trPr>
          <w:trHeight w:val="15"/>
        </w:trPr>
        <w:tc>
          <w:tcPr>
            <w:tcW w:w="6098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</w:tr>
      <w:tr w:rsidR="00444F03" w:rsidTr="00444F0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444F03" w:rsidTr="00444F0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12.4.121-83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2228-81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5959-80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6732.2-89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8777-80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9338-80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9557-87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15846-79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16272-79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18573-86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lastRenderedPageBreak/>
              <w:t>ГОСТ 19433-88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4.4.1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4.4.1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4.2а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44F03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</w:tbl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Срок действия продлен до 01.01.97 Постановлением Госстандарта СССР от 11.07.89 N 2369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 (апрель 1991 г.) с Изменениями N 1, 2, утвержденными в октябре 1988 г. и июле 1989 г. (ИУС 1-89, 11-89)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хлорную известь, представляющую смесь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двуосновной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соли гипохлорита кальция,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оксихлорида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кальция, хлорида и гидроокиси кальция.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Хлорная известь применяется для дегазации, отбелки, обеззараживания питьевой воды и дезинфекции.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Хлорная известь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В зависимости от способа получения хлорную известь выпускают двух марок: А 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Хлорную известь марки А получают хлорированием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пушонки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кипящем слое, марки Б - хлорированием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пушонки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аппаратах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Бакмана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Коды ОКП хлорной извести в зависимости от марки, сорта, фасовки указаны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4066"/>
      </w:tblGrid>
      <w:tr w:rsidR="00444F03" w:rsidTr="00444F03">
        <w:trPr>
          <w:trHeight w:val="15"/>
        </w:trPr>
        <w:tc>
          <w:tcPr>
            <w:tcW w:w="6098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</w:tr>
      <w:tr w:rsidR="00444F03" w:rsidTr="00444F0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марки, сорта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444F03" w:rsidTr="00444F0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Хлорная известь 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2147120100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2147120130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2147120140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3-й сорт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2147120150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Хлорная известь 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2147120200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2147120230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2147120240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3-й сорт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2147120250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Хлорная известь для розничной торговли расфасованная: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2386420110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пакеты по 500 г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2386420111</w:t>
            </w:r>
          </w:p>
        </w:tc>
      </w:tr>
      <w:tr w:rsidR="00444F03" w:rsidTr="00444F03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пакеты по 2000 г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2386420112</w:t>
            </w:r>
          </w:p>
        </w:tc>
      </w:tr>
    </w:tbl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По физико-химическим показателям хлорная известь должна соответствовать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8"/>
        <w:gridCol w:w="1004"/>
        <w:gridCol w:w="1153"/>
        <w:gridCol w:w="1004"/>
        <w:gridCol w:w="1004"/>
        <w:gridCol w:w="1153"/>
        <w:gridCol w:w="1153"/>
      </w:tblGrid>
      <w:tr w:rsidR="00444F03" w:rsidTr="00444F03">
        <w:trPr>
          <w:trHeight w:val="15"/>
        </w:trPr>
        <w:tc>
          <w:tcPr>
            <w:tcW w:w="4620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44F03" w:rsidRDefault="00444F03">
            <w:pPr>
              <w:rPr>
                <w:sz w:val="2"/>
                <w:szCs w:val="24"/>
              </w:rPr>
            </w:pPr>
          </w:p>
        </w:tc>
      </w:tr>
      <w:tr w:rsidR="00444F03" w:rsidTr="00444F0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444F03" w:rsidTr="00444F0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</w:tr>
      <w:tr w:rsidR="00444F03" w:rsidTr="00444F0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3-й сорт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3-й сорт</w:t>
            </w:r>
          </w:p>
        </w:tc>
      </w:tr>
      <w:tr w:rsidR="00444F03" w:rsidTr="00444F0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Порошок белого цвета или слабоокрашенный, </w:t>
            </w:r>
            <w:r>
              <w:rPr>
                <w:color w:val="2D2D2D"/>
                <w:sz w:val="15"/>
                <w:szCs w:val="15"/>
              </w:rPr>
              <w:br/>
              <w:t>с наличием комков</w:t>
            </w:r>
          </w:p>
        </w:tc>
      </w:tr>
      <w:tr w:rsidR="00444F03" w:rsidTr="00444F0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активного хлора, %,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444F03" w:rsidTr="00444F03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Коэффициент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термостабильности</w:t>
            </w:r>
            <w:proofErr w:type="spell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03" w:rsidRDefault="00444F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</w:tr>
    </w:tbl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Допускается снижение массовой доли активного хлора в хлорной извести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1-го и 2-го сортов в течение трех лет на 8%, марки А 3-го сорта и марки Б в течение 1 года - на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Определение показателя "Коэффициент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термостабильности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обязательно в каждой партии для набора статистики для продукта 2-го сорта марки Б и третьих сортов обеих марок.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Пыль хлорной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извести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выделяющийся хлор оказывают раздражающее действие на слизистые оболочки дыхательных путей, глаз, а также на кожные покровы.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Предельно допустимая концентрация (ПДК) хлора в воздухе рабочей зоны - 1 мг/м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(2-й класс опасности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). Метод определения основан на цветной реакции с йодидами (йодокрахмальная реакция). Для определения и регистрации содержания хлора в воздухе производственных помещений используют стационарные автоматические или переносные газоанализаторы.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Хлорная известь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негорюча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но, являясь сильным окислителем, при контакте с органическими продуктами может вызвать их загорание.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Производственные помещения должны быть оборудованы приточно-вытяжной вентиляцией, обеспечивающей содержание хлора в них в пределах ПДК.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Производственный персонал должен быть снабжен специальной одеждой в соответствии с отраслевыми нормами.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Для защиты органов дыхания и зрения персонал должен применять индивидуальные средства защиты, фильтрующий противогаз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БФК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12.4.121-83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2.7. Производственные помещения и хранилища должны быть снабжены огнетушащими средствами: водой, ящиками с песком и углекислотными огнетушителями.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2.8. В случае разогрева хлорной извести вследствие разложения необходимо принять срочные меры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рассредоточиванию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2.9. При отравлении хлором пострадавшего следует вывести из зараженной атмосферы, обеспечить покой, тепло и вызвать врача. При попадании продукта на кожные покровы и в глаза их надо промыть струей воды в течение 15-20 мин. При необходимости пострадавшего направляют в медпункт.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2.10. Уборка помещения вакуумная. При отсутствии вакуумной системы допускается влажная уборка.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Хлорную известь принимают партиями. Партией считают количество продукта, однородное по показателям качества, массой не более 60 т, сопровождаемое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брутто и нетто (для мешков - только масса нетто);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упаковочных единиц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анализов или подтверждение о соответствии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надписи: "Едкое вещество", "Хранить в сухом месте";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подтверждение о нанесении на упаковку знаков опасности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Для контроля качества хлорной извести на соответствие ее показателей требованиям настоящего стандарта от партии отбирают выборку из 1% упаковочных единиц, но не менее трех при малых партиях.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Для контроля качества хлорной извести, предназначенной для розничной торговли, от выборки отбирают от каждого мешка или ящика по 2 пакета массой по 0,5 кг и 1 пакет массой 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При получении неудовлетворительных результатов анализа хотя бы по одному из показателей проводят повторный анализ по всем показателям на удвоенной выборке.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Точечные пробы хлорной извести отбирают щупом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6732.2-89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титана, винипласта, погружая его на 3/4 глубины грузового места.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пакетов развесом 0,5-2,0 кг допускается отбор проб совком.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 отбора проб из полиэтиленовых мешков место отбора проб должно быть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загерметизировано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заваркой или плотным завязыванием, исключающим высыпание хлорной извести.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механизированной фасовке допускается отбор проб из потока.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точечной пробы - не менее 100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 Отобранные точечные пробы соединяют в полиэтиленовом пакете или на чистом сухом листе силикатного или органического стекла или винипласта, тщательно перемешивают и получают объединенную пробу.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4.1.3. Объединенную пробу сокращают методом отбора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средней пробы массой около 300 г и помещают ее в чистую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сухую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плотно закрывающуюся стеклянную банку или полиэтиленовый пакет. Полиэтиленовый пакет заваривают или завязывают. Пробу хранят в сухом затемненном месте.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банку или пакет наклеивают этикетку с указанием наименования продукта, номера партии, марки, даты отбора пробы, надписи "Берегись ожога", фамилии пробоотборщика.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4.1.1-4.1.3.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4.2а. При проведении анализа должны соблюдаться требования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использование аналогичной аппаратуры с техническими и метрологическими характеристиками, а также реактивов по качеству,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Внешний вид продукта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массовой доли активного хлора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 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по ГОСТ 20292-74 исполнения 1 или 3 вместимостью 50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6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исполнения 1 или 2 вместимостью 500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7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коническая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исполнения 1 или 2 вместимостью 500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по ГОСТ 20292-74 исполнения 2 вместимостью 50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Ступка фарфоровая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N 3 или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Цилиндр мерный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исполнения 1 или 3 вместимостью 50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раствора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1692-85 Известь хлор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 H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 моль/дм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(тиосульфат натрия)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ч. д. а., раствора концентрации 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1692-85 Известь хлор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1692-85 Известь хлорная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·5H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O)=0,1 моль/дм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2,2-2,8 г хлорной извести взвешивают, записывая результат взвешивания в граммах с четырьмя десятичными знаками, переносят в фарфоровую ступку, добавляют 30-40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растирают пестиком до образования однородной массы. После отстаивания водный слой декантируют в мерную колбу. К остатку в ступке добавляют около 20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тщательно растирают и переносят всю массу в ту же колбу. Объем жидкости в колбе доводят до метки водой, тщательно перемешивают. Не давая осесть осадку, отбирают пипеткой раствор в коническую колбу, приливают 10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калия, перемешивают, прибавляют 50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закрывают колбу пробкой, снова перемешивают и помещают в темное место.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5 мин выделившийся йод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до соломенно-желтого цвета, добавляют 1-2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продолжают титрование до обесцвечивания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в тех же условиях с теми же объемами реактивов.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активного хлора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1692-85 Известь хлорная. Технические условия (с Изменениями N 1, 2)" style="width:14.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</w:p>
    <w:p w:rsidR="00444F03" w:rsidRDefault="00444F03" w:rsidP="00444F0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83765" cy="409575"/>
            <wp:effectExtent l="19050" t="0" r="6985" b="0"/>
            <wp:docPr id="25" name="Рисунок 25" descr="ГОСТ 1692-85 Известь хл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692-85 Известь хл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692-85 Известь хлорная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анализируемой пробы,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1692-85 Известь хлорная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в контрольном опыте,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0,003546 - масса хлора, соответствующая 1 см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692-85 Известь хлорная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навески хлорной извести,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при доверительной вероятности 0,95 не должны превышать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1).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Определение коэффициента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термостабильности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П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диаметром 25 мм, высотой 200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Весы лабораторные общего назначения 2-го класса точности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наибольшим пределом взвешивания 200 г, или 3-го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Термостат, обеспечивающий температуру (85±1)°С.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14-16 г продукта взвешивают в стеклянной пробирке, записывая результат взвешивания в граммах с двумя десятичными знаками. Пробирку закрывают резиновой пробкой со вставленной в нее стеклянной трубкой (длина 380 мм, внутренний диаметр 6 мм). Конец трубки должен находиться на расстоянии 5-10 мм выше поверхности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Пробирку с продуктом помещают в термостат так, чтобы весь продукт был погружен в воду, и выдерживают при температуре (85±1)°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течение 2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этого пробирку вынимают из бани термостата, закрывают сплошной пробкой и охлаждают до комнатной температуры. Содержимое пробирки перемешивают и определяют массовую долю активного хлора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692-85 Известь хлорная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по п.4.3.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Коэффициент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термостабильности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1692-85 Известь хлорная. Технические условия (с Изменениями N 1, 2)" style="width:18.8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 </w:t>
      </w:r>
    </w:p>
    <w:p w:rsidR="00444F03" w:rsidRDefault="00444F03" w:rsidP="00444F0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88975" cy="409575"/>
            <wp:effectExtent l="19050" t="0" r="0" b="0"/>
            <wp:docPr id="37" name="Рисунок 37" descr="ГОСТ 1692-85 Известь хл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1692-85 Известь хл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692-85 Известь хлорная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активного хлора в хлорной извести после нагревания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1692-85 Известь хлорная. Технические условия (с Изменениями N 1, 2)" style="width:14.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массовая доля активного хлора в исходной хлорной извести, определенная по п.4.3,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при доверительной вероятности 0,95 не должны превышать 0,01.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Хлорную известь упаковывают: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полиэтиленовые мешки М 10-0,220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пакеты развесом 0,5-2,0 кг из полиэтиленовой пленки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 толщиной 0,06-0,100 мм или из поливинилхлоридной пленки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16272-79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толщиной 0,18-0,23 мм, или из мешочной бумаги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2228-81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 П-20, ламинированной полиэтиленом;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полиэтиленовые мешки М 10-0,220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вложенные в мешки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ткани;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стальные барабаны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типов I или III, исполнений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692-85 Известь хлорная. Технические условия (с Изменениями N 1, 2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692-85 Известь хлорная. Технические условия (с Изменениями N 1, 2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не более 100 дм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окрашенные внутри и снаружи химически стойкой краской, или в неокрашенные барабаны из углеродистой стали указанных типов и исполнений, снабженные вкладышами из полиэтиленовой пленки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 толщиной 0,06-0,100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Хлорную известь для розничной торговли упаковывают в пакеты развесом 0,5-2,0 кг с допускаемым отклонением от номинальной массы пакета ±5%. Пакеты укладывают в полиэтиленовые мешки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деревянные ящики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18573-86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II-1 или III-1, или в ящики из листовых древесных материалов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5959-80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II-1.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Масса брутто одного грузового места должна быть не более 30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Хлорную известь, предназначенную для отгрузки в районы Крайнего Севера и труднодоступные районы, упаковывают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15846-79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* в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деревянные бочки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вместимостью 100 дм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вкладышами из полиэтиленовой пленки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 толщиной 0,06-0,100 мм, в деревянные бочки для хлорной извести, изготовленные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Хлорную известь для длительного хранения упаковывают в стальные барабаны, окрашенные внутри и снаружи, или в полиэтиленовые мешки, вложенные в мешки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ткани. При этом в верхнем днище барабанов исполнения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1692-85 Известь хлорная. Технические условия (с Изменениями N 1, 2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дополнительно должно быть отверстие исполнения A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692-85 Известь хлорная. Технические условия (с Изменениями N 1, 2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Хлорную известь для экспорта упаковывают в деревянные бочки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вместимостью 100 дм</w:t>
      </w:r>
      <w:r w:rsidR="000723A0" w:rsidRPr="000723A0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692-85 Известь хл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вкладышами из полиэтиленовой пленки; в деревянные бочки для хлорной извести, изготовленные по нормативно-технической документации; фанерные барабаны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9338-80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вкладышами из полиэтиленовой пленки; стальные барабаны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, окрашенные внутри и снаружи, или окрашенные снаружи и с вкладышами из полиэтиленовой пленки.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хлорной извести, загружаемой в тару, не должна превышать 40°С.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Полиэтиленовые мешки и пакеты заваривают или завязывают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хлорстойким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шпагатом или металлическим кольцом. Пакеты допускается завязывать резиновым кольцом. Пакеты из мешочной бумаги заваривают. Мешки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ткани зашивают, не прокалывая полиэтиленового вкладыша, или завязывают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хлорстойким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шпагатом.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Транспортная маркировка - по ГОСТ 14192-77* с указанием следующих данных: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 w:rsidR="00A74A75"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манипуляционных знаков: "Герметичная упаковка", "Боится нагрева";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массы брутто и нетто (для мешков - только массы нетто);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знака опасности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5, подкласс 5.1, шифр группы 5152, серийный номер ООН 2208).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Маркировка, характеризующая упакованную продукцию, должна содержать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марку,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партии,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Маркировка потребительской тары с хлорной известью, предназначенной для розничной торговли, должна содержать 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назначение продукта, способ его применения;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меры предосторожности и средства защиты;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годности (1 год), месяц и год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надписи: "Едкое вещество" и "Хранить в сухом месте";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цена.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Маркировку продукта для розничной торговли наносят на потребительскую тару. Допускается наносить маркировку на бумажный ярлык, который помещают в полиэтиленовый пакетик и прикрепляют к горловине пакета.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 Хлорная известь должна транспортироваться пакетами. Хлорная известь в мешках должна транспортироваться в металлических ящичных поддонах, изготовленных по нормативно-технической документации, в барабанах, ящиках и бочках - на плоских деревянных поддонах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9557-87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Средства скрепления барабанов, ящиков и бочек на поддонах - по </w:t>
      </w:r>
      <w:r w:rsidRPr="00444F03">
        <w:rPr>
          <w:rFonts w:ascii="Arial" w:hAnsi="Arial" w:cs="Arial"/>
          <w:color w:val="2D2D2D"/>
          <w:spacing w:val="1"/>
          <w:sz w:val="15"/>
          <w:szCs w:val="15"/>
        </w:rPr>
        <w:t>ГОСТ 21650-76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брутто пакета не должна превышать 1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 Маркировку наносят непосредственно на каждое грузовое место и на ящичные поддоны, установленные у дверей вагона, но не менее чем на 10 ящичных поддонов. Допускается маркировку ящичных поддонов наносить на прикрепляемые к ним ярлыки.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 Хлорную известь транспортируют всеми видами транспорта, кроме воздушного, в крытых транспортных средствах в соответствии с правилами перевозок опасных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Хлорную известь, упакованную в полиэтиленовые мешки, транспортируют только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по железной дороге или автомобильным транспортом.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перевозить хлорную известь, упакованную в тару, автомобильным транспортом в непакетированном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5.5-5.8.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 Хлорная известь, упакованная в полиэтиленовые мешки, должна быть выдержана в упаковке на складе предприятия-изготовителя в течение 72 ч на поддонах. При этом мешки укладывают на поддоны высотой до 1 м при ширине штабеля до 2 м. Проход между штабелями - не менее 0,5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5.10. Хлорную известь хранят в закрытых складских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неотапливаемых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затемненных и хорошо проветриваемых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Полы должны быть из асфальта, кирпича или бетона.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Хлорную известь в мешках хранят в штабелях высотой до 2,5 м и шириной до 1,2 м, в барабанах, ящиках и бочках - вертикально, высотой до пяти ярусов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перестилом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досок между ярусами или горизонтально высотой до 4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Между штабелями оставляют проход шириной не менее 1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5.11. Не допускается хранение в одном помещении с хлорной известью взрывчатых веществ, огнеопасных грузов и баллонов со сжатыми газами.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качества хлорной извести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44F03" w:rsidRDefault="00444F03" w:rsidP="00444F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хлорной извести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1-го и 2-го сортов - 3 года со дня изготовления, марки А 3-го сорта и марки Б - 1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2A" w:rsidRDefault="0080222A" w:rsidP="007E5D19">
      <w:pPr>
        <w:spacing w:after="0" w:line="240" w:lineRule="auto"/>
      </w:pPr>
      <w:r>
        <w:separator/>
      </w:r>
    </w:p>
  </w:endnote>
  <w:endnote w:type="continuationSeparator" w:id="0">
    <w:p w:rsidR="0080222A" w:rsidRDefault="0080222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723A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2A" w:rsidRDefault="0080222A" w:rsidP="007E5D19">
      <w:pPr>
        <w:spacing w:after="0" w:line="240" w:lineRule="auto"/>
      </w:pPr>
      <w:r>
        <w:separator/>
      </w:r>
    </w:p>
  </w:footnote>
  <w:footnote w:type="continuationSeparator" w:id="0">
    <w:p w:rsidR="0080222A" w:rsidRDefault="0080222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073CB"/>
    <w:multiLevelType w:val="multilevel"/>
    <w:tmpl w:val="1454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83309"/>
    <w:multiLevelType w:val="multilevel"/>
    <w:tmpl w:val="2D2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41AD9"/>
    <w:multiLevelType w:val="multilevel"/>
    <w:tmpl w:val="593C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B76D2"/>
    <w:multiLevelType w:val="multilevel"/>
    <w:tmpl w:val="6EC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04608"/>
    <w:multiLevelType w:val="multilevel"/>
    <w:tmpl w:val="A6FA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457BC"/>
    <w:multiLevelType w:val="multilevel"/>
    <w:tmpl w:val="23C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51B15"/>
    <w:multiLevelType w:val="multilevel"/>
    <w:tmpl w:val="568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10CBE"/>
    <w:multiLevelType w:val="multilevel"/>
    <w:tmpl w:val="0D9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5"/>
  </w:num>
  <w:num w:numId="9">
    <w:abstractNumId w:val="19"/>
  </w:num>
  <w:num w:numId="10">
    <w:abstractNumId w:val="6"/>
  </w:num>
  <w:num w:numId="11">
    <w:abstractNumId w:val="7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9"/>
  </w:num>
  <w:num w:numId="22">
    <w:abstractNumId w:val="24"/>
  </w:num>
  <w:num w:numId="23">
    <w:abstractNumId w:val="20"/>
  </w:num>
  <w:num w:numId="24">
    <w:abstractNumId w:val="15"/>
  </w:num>
  <w:num w:numId="25">
    <w:abstractNumId w:val="14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723A0"/>
    <w:rsid w:val="000C34D1"/>
    <w:rsid w:val="000E11B6"/>
    <w:rsid w:val="0011272F"/>
    <w:rsid w:val="00144A40"/>
    <w:rsid w:val="00153F83"/>
    <w:rsid w:val="001741CA"/>
    <w:rsid w:val="00177C25"/>
    <w:rsid w:val="00216D50"/>
    <w:rsid w:val="002D3ACA"/>
    <w:rsid w:val="00313072"/>
    <w:rsid w:val="00362C0C"/>
    <w:rsid w:val="003C5B0D"/>
    <w:rsid w:val="003D53F9"/>
    <w:rsid w:val="003F7A45"/>
    <w:rsid w:val="00444F03"/>
    <w:rsid w:val="00477A04"/>
    <w:rsid w:val="0059308D"/>
    <w:rsid w:val="006B6B83"/>
    <w:rsid w:val="006F06DF"/>
    <w:rsid w:val="007214CA"/>
    <w:rsid w:val="007E5D19"/>
    <w:rsid w:val="0080222A"/>
    <w:rsid w:val="008E615F"/>
    <w:rsid w:val="0095551E"/>
    <w:rsid w:val="00A716F7"/>
    <w:rsid w:val="00A74A75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62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2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75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089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7010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59421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85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9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696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990895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1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4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77938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791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56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2017-08-10T14:40:00Z</dcterms:created>
  <dcterms:modified xsi:type="dcterms:W3CDTF">2017-08-15T16:26:00Z</dcterms:modified>
</cp:coreProperties>
</file>