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E" w:rsidRDefault="00D0277E" w:rsidP="00D0277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131-2013 Спирт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этиловый-сырец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из пищевого сырья. Технические условия</w:t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131-2013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Н74</w:t>
      </w:r>
    </w:p>
    <w:p w:rsidR="00D0277E" w:rsidRDefault="00D0277E" w:rsidP="00D027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D0277E" w:rsidRDefault="00D0277E" w:rsidP="00D027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 xml:space="preserve">СПИРТ </w:t>
      </w:r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t>ЭТИЛОВЫЙ-СЫРЕЦ</w:t>
      </w:r>
      <w:proofErr w:type="gram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ИЗ ПИЩЕВОГО СЫРЬЯ </w:t>
      </w:r>
    </w:p>
    <w:p w:rsidR="00D0277E" w:rsidRPr="00D0277E" w:rsidRDefault="00D0277E" w:rsidP="00D027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D0277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D0277E" w:rsidRDefault="00D0277E" w:rsidP="00D0277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proofErr w:type="gramStart"/>
      <w:r w:rsidRPr="00D0277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Grude</w:t>
      </w:r>
      <w:proofErr w:type="spellEnd"/>
      <w:r w:rsidRPr="00D0277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ethyl alcohol from edible raw material.</w:t>
      </w:r>
      <w:proofErr w:type="gramEnd"/>
      <w:r w:rsidRPr="00D0277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67.160.10</w:t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2014-07-01</w:t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D0277E" w:rsidRDefault="00D0277E" w:rsidP="00D0277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РАЗРАБОТАН Государственным научным учреждением Всероссийским научно-исследовательским институтом пищевой биотехнологии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(ГНУ ВНИИПБТ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Росстандарт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от 7 июня 2013 г. N 43)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9"/>
        <w:gridCol w:w="2363"/>
        <w:gridCol w:w="4727"/>
      </w:tblGrid>
      <w:tr w:rsidR="00D0277E" w:rsidTr="00D0277E">
        <w:trPr>
          <w:trHeight w:val="15"/>
        </w:trPr>
        <w:tc>
          <w:tcPr>
            <w:tcW w:w="3696" w:type="dxa"/>
            <w:hideMark/>
          </w:tcPr>
          <w:p w:rsidR="00D0277E" w:rsidRDefault="00D0277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0277E" w:rsidRDefault="00D0277E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D0277E" w:rsidRDefault="00D0277E">
            <w:pPr>
              <w:rPr>
                <w:sz w:val="2"/>
                <w:szCs w:val="24"/>
              </w:rPr>
            </w:pPr>
          </w:p>
        </w:tc>
      </w:tr>
      <w:tr w:rsidR="00D0277E" w:rsidTr="00D0277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proofErr w:type="gramStart"/>
            <w:r w:rsidRPr="00D0277E">
              <w:rPr>
                <w:color w:val="2D2D2D"/>
                <w:sz w:val="15"/>
                <w:szCs w:val="15"/>
              </w:rPr>
              <w:t>M</w:t>
            </w:r>
            <w:proofErr w:type="gramEnd"/>
            <w:r w:rsidRPr="00D0277E">
              <w:rPr>
                <w:color w:val="2D2D2D"/>
                <w:sz w:val="15"/>
                <w:szCs w:val="15"/>
              </w:rPr>
              <w:t>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</w:t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 w:rsidRPr="00D0277E">
              <w:rPr>
                <w:color w:val="2D2D2D"/>
                <w:sz w:val="15"/>
                <w:szCs w:val="15"/>
              </w:rPr>
              <w:t>M</w:t>
            </w:r>
            <w:proofErr w:type="gramEnd"/>
            <w:r w:rsidRPr="00D0277E">
              <w:rPr>
                <w:color w:val="2D2D2D"/>
                <w:sz w:val="15"/>
                <w:szCs w:val="15"/>
              </w:rPr>
              <w:t>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D0277E" w:rsidTr="00D0277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D0277E" w:rsidTr="00D0277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D0277E" w:rsidTr="00D0277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D0277E" w:rsidTr="00D0277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D0277E" w:rsidTr="00D0277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D0277E" w:rsidTr="00D0277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D0277E" w:rsidTr="00D0277E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28 июня 2013 г. N 346-ст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131-2013 введен в действие в качестве национального стандарта Российской Федерации с 1 июля 2014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Настоящий стандарт подготовлен на основе применения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D0277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D0277E">
        <w:rPr>
          <w:rFonts w:ascii="Arial" w:hAnsi="Arial" w:cs="Arial"/>
          <w:color w:val="2D2D2D"/>
          <w:spacing w:val="1"/>
          <w:sz w:val="15"/>
          <w:szCs w:val="15"/>
        </w:rPr>
        <w:t xml:space="preserve"> 52193-2003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lastRenderedPageBreak/>
        <w:t>     1 Область применения</w:t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этиловый спирт-сырец, вырабатываемый из зерна, картофеля, сахарной свеклы, сахара-сырца, мелассы и другого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сахар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крахмалосодержащего пищевого сырья (за исключением фруктового) и предназначенный для производства этилового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безопасности изложены в разделе 4, требования к качеству - в 3.1.2 и 3.1.3, к упаковке - в 3.3, к маркировке - в 3.4.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12.1.044-89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(ИСО 4589-84) Система стандартов безопасности труда.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Пожаровзрывоопасность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веществ и материалов. Номенклатура показателей и методы их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5105-82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Канистры стальные для горючего и масел.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6247-79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Бочки стальные сварные с обручами катания на корпусе.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13950-91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Бочки стальные сварные и закатные с гофрами на корпусе.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Грузы опасные. Классификация и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26319-84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Грузы опасные.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31684-2012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Спирт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этиловый-сырец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пищевого сырья. Газохроматографический метод определения содержания летучих органических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32036-2013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Спирт этиловый из пищевого сырья.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Правила приемки и методы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Технические требования</w:t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3.1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 Этиловый спирт-сырец из пищевого сырья должен быть выработан в соответствии с требованиями настоящего стандарта по технологическому регламенту и технологической инструкции, с соблюдением требований [1]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органолептическим показателям этиловый спирт-сырец из пищевого сырья должен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1"/>
        <w:gridCol w:w="7568"/>
      </w:tblGrid>
      <w:tr w:rsidR="00D0277E" w:rsidTr="00D0277E">
        <w:trPr>
          <w:trHeight w:val="15"/>
        </w:trPr>
        <w:tc>
          <w:tcPr>
            <w:tcW w:w="3142" w:type="dxa"/>
            <w:hideMark/>
          </w:tcPr>
          <w:p w:rsidR="00D0277E" w:rsidRDefault="00D0277E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D0277E" w:rsidRDefault="00D0277E">
            <w:pPr>
              <w:rPr>
                <w:sz w:val="2"/>
                <w:szCs w:val="24"/>
              </w:rPr>
            </w:pPr>
          </w:p>
        </w:tc>
      </w:tr>
      <w:tr w:rsidR="00D0277E" w:rsidTr="00D027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</w:t>
            </w:r>
          </w:p>
        </w:tc>
      </w:tr>
      <w:tr w:rsidR="00D0277E" w:rsidTr="00D0277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Прозрачная жидкость без посторонних частиц </w:t>
            </w:r>
          </w:p>
        </w:tc>
      </w:tr>
      <w:tr w:rsidR="00D0277E" w:rsidTr="00D0277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Бесцветная жидкость</w:t>
            </w:r>
          </w:p>
        </w:tc>
      </w:tr>
      <w:tr w:rsidR="00D0277E" w:rsidTr="00D0277E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 и запах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Характерные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этилового спирта-сырца, выработанного из соответствующего сырья, без привкуса и запаха </w:t>
            </w:r>
            <w:r>
              <w:rPr>
                <w:color w:val="2D2D2D"/>
                <w:sz w:val="15"/>
                <w:szCs w:val="15"/>
              </w:rPr>
              <w:lastRenderedPageBreak/>
              <w:t>посторонних веществ</w:t>
            </w:r>
          </w:p>
        </w:tc>
      </w:tr>
    </w:tbl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физико-химическим показателям этиловый спирт-сырец из пищевого сырья должен соответствовать требованиям,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90"/>
        <w:gridCol w:w="2410"/>
        <w:gridCol w:w="1389"/>
      </w:tblGrid>
      <w:tr w:rsidR="00D0277E" w:rsidTr="00D0277E">
        <w:trPr>
          <w:trHeight w:val="15"/>
        </w:trPr>
        <w:tc>
          <w:tcPr>
            <w:tcW w:w="7392" w:type="dxa"/>
            <w:hideMark/>
          </w:tcPr>
          <w:p w:rsidR="00D0277E" w:rsidRDefault="00D0277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0277E" w:rsidRDefault="00D0277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0277E" w:rsidRDefault="00D0277E">
            <w:pPr>
              <w:rPr>
                <w:sz w:val="2"/>
                <w:szCs w:val="24"/>
              </w:rPr>
            </w:pPr>
          </w:p>
        </w:tc>
      </w:tr>
      <w:tr w:rsidR="00D0277E" w:rsidTr="00D0277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 для этилового спирта-сырца</w:t>
            </w:r>
          </w:p>
        </w:tc>
      </w:tr>
      <w:tr w:rsidR="00D0277E" w:rsidTr="00D0277E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всех видов сырья (за исключением мелассы) или их смеси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 мелассы</w:t>
            </w:r>
          </w:p>
        </w:tc>
      </w:tr>
      <w:tr w:rsidR="00D0277E" w:rsidTr="00D0277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Объемная доля этилового спирта-сырца, %,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</w:tr>
      <w:tr w:rsidR="00D0277E" w:rsidTr="00D0277E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альдегидов (уксусный, </w:t>
            </w:r>
            <w:proofErr w:type="spellStart"/>
            <w:r>
              <w:rPr>
                <w:color w:val="2D2D2D"/>
                <w:sz w:val="15"/>
                <w:szCs w:val="15"/>
              </w:rPr>
              <w:t>кротоновый</w:t>
            </w:r>
            <w:proofErr w:type="spellEnd"/>
            <w:r>
              <w:rPr>
                <w:color w:val="2D2D2D"/>
                <w:sz w:val="15"/>
                <w:szCs w:val="15"/>
              </w:rPr>
              <w:t>) в пересчете на безводный спирт, мг/дм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alt="ГОСТ 131-2013 Спирт этиловый-сырец из пищевого сырь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</w:tr>
      <w:tr w:rsidR="00D0277E" w:rsidTr="00D0277E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концентрация сложных эфиров (</w:t>
            </w:r>
            <w:proofErr w:type="spellStart"/>
            <w:r>
              <w:rPr>
                <w:color w:val="2D2D2D"/>
                <w:sz w:val="15"/>
                <w:szCs w:val="15"/>
              </w:rPr>
              <w:t>этилформиат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этилацетат, </w:t>
            </w:r>
            <w:proofErr w:type="spellStart"/>
            <w:r>
              <w:rPr>
                <w:color w:val="2D2D2D"/>
                <w:sz w:val="15"/>
                <w:szCs w:val="15"/>
              </w:rPr>
              <w:t>изобутилацетат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изоамилацетат, </w:t>
            </w:r>
            <w:proofErr w:type="spellStart"/>
            <w:r>
              <w:rPr>
                <w:color w:val="2D2D2D"/>
                <w:sz w:val="15"/>
                <w:szCs w:val="15"/>
              </w:rPr>
              <w:t>этиллактат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этилоктаноат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этилдеканоат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этиллаурат</w:t>
            </w:r>
            <w:proofErr w:type="spellEnd"/>
            <w:r>
              <w:rPr>
                <w:color w:val="2D2D2D"/>
                <w:sz w:val="15"/>
                <w:szCs w:val="15"/>
              </w:rPr>
              <w:t>) в пересчете на безводный спирт, мг/дм</w:t>
            </w:r>
            <w:r>
              <w:rPr>
                <w:color w:val="2D2D2D"/>
                <w:sz w:val="15"/>
                <w:szCs w:val="15"/>
              </w:rPr>
              <w:pict>
                <v:shape id="_x0000_i1108" type="#_x0000_t75" alt="ГОСТ 131-2013 Спирт этиловый-сырец из пищевого сырь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</w:tr>
      <w:tr w:rsidR="00D0277E" w:rsidTr="00D0277E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Объемная доля метилового спирта в пересчете на безводный спирт,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D0277E" w:rsidTr="00D0277E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компонентов сивушного масла (2-пропанол, 2-бутанол, 1-пропанол, </w:t>
            </w:r>
            <w:proofErr w:type="spellStart"/>
            <w:r>
              <w:rPr>
                <w:color w:val="2D2D2D"/>
                <w:sz w:val="15"/>
                <w:szCs w:val="15"/>
              </w:rPr>
              <w:t>изобутанол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1-бутанол, </w:t>
            </w:r>
            <w:proofErr w:type="spellStart"/>
            <w:r>
              <w:rPr>
                <w:color w:val="2D2D2D"/>
                <w:sz w:val="15"/>
                <w:szCs w:val="15"/>
              </w:rPr>
              <w:t>изоамилол</w:t>
            </w:r>
            <w:proofErr w:type="spellEnd"/>
            <w:r>
              <w:rPr>
                <w:color w:val="2D2D2D"/>
                <w:sz w:val="15"/>
                <w:szCs w:val="15"/>
              </w:rPr>
              <w:t>, 2-фенилэтанол) в пересчете на безводный спирт, мг/дм</w:t>
            </w:r>
            <w:r>
              <w:rPr>
                <w:color w:val="2D2D2D"/>
                <w:sz w:val="15"/>
                <w:szCs w:val="15"/>
              </w:rPr>
              <w:pict>
                <v:shape id="_x0000_i1109" type="#_x0000_t75" alt="ГОСТ 131-2013 Спирт этиловый-сырец из пищевого сырь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277E" w:rsidRDefault="00D0277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5000</w:t>
            </w:r>
          </w:p>
        </w:tc>
      </w:tr>
    </w:tbl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е допускается добавление к этиловому спирту-сырцу головной и промежуточной фракции этилового спирта и спиртосодержащих отходов ликероводочного производства.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3.2 Требования к сырью и материалам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Этиловый спирт-сырец вырабатывают: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из зерна, картофеля или смеси зерна и картофеля;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смеси зерна, картофеля, сахарной свеклы и мелассы, сахара-сырца и другого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сахар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крахмалосодержащего сырья в различных соотношениях;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мелассы.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производстве этилового спирта-сырца из пищевого сырья применяют вспомогательные материалы, разрешенные к применению в спиртовой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3.3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 Этиловый спирт-сырец из пищевого сырья разливают в специально оборудованные и предназначенные для него цистерны или резервуары, изготовленные из материалов, разрешенных для контакта с этиловым спиртом-сырцом.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 Цистерны и резервуары должны герметически закрываться крышками, иметь воздушники, оборудованные предохранительными клапанами. Для установления уровня спирта применяют поплавковые или другие безопасные указатели уровня.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3.3.3 Цистерны и резервуары с этиловым спиртом-сырцом должны быть опломбированы.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опускается разливать этиловый спирт-сырец в чистые бочки по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13950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6247</w:t>
      </w:r>
      <w:r>
        <w:rPr>
          <w:rFonts w:ascii="Arial" w:hAnsi="Arial" w:cs="Arial"/>
          <w:color w:val="2D2D2D"/>
          <w:spacing w:val="1"/>
          <w:sz w:val="15"/>
          <w:szCs w:val="15"/>
        </w:rPr>
        <w:t>, бутыли по нормативным документам, действующим на территории государства, принявшего стандарт, канистры по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5105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другие емкости, изготовленные из материалов, разрешенных для контакта с продуктом данного вида. Упаковка и укупорка тары с этиловым спиртом-сырцом должны обеспечивать его сохранность и соответствовать требованиям [2] или нормативных правовых актов, действующих на территории государства, принявшего стандарт, и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26319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3.4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 Транспортная маркировка - в соответствии с требованиями [3] или нормативных правовых актов, действующих на территории государства, принявшего стандарт, и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Маркировка, характеризующая транспортную опасность груза, - по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Дополнительно указывают следующую информацию: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объем;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брутто, 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цистерны, бочки, бутылки, канистры;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надпись: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"Легковоспламеняющаяся жидкость";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знак опасности, классификационный шифр 3212, номер ООН-1170.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Требования безопасности</w:t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Этиловый спирт-сырец из пищевого сырья по степени воздействия на организм человека относится к 4-му классу опасности по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 допустимая концентрация (ПДК) паров этилового спирта-сырца в воздухе рабочей зоны производственных помещений - 1000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131-2013 Спирт этиловый-сырец из пищевого сырь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Этиловый спирт-сырец из пищевого сырья - бесцветная легковоспламеняющаяся жидкость. Температура вспышки - не менее 13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температура самовоспламенения - не менее 404 °С. Категория и группа взрывоопасной смеси этилового спирта-сырца с воздухом - 11 А-Т2. Определение проводят по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12.1.044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Резервуары, технологическое оборудование, трубопроводы и сливно-наливные устройства, связанные с приемом, хранением и перемещением этилового спирта-сырца, должны быть защищены от статического электричества в соответствии с правилами защиты от статического электричества.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Электрооборудование должно быть во взрывобезопасном исполнении.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аварийных условиях при повышенной концентрации этилового спирта-сырца в воздухе, а также при пожаре следует использовать средства индивидуальной защиты органов дыхания.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 Средства пожаротушения - распыленная вода, песок, асбестовое одеяло, все виды огнетушителей.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работе с этиловым спиртом-сырцом следует применять специальную одежду в соответствии с требованиями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Правила приемки - по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32036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анализа</w:t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Отбор проб - по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32036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Методы анализа: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определение объемной доли этилового спирта-сырца - по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32036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определение массовой концентрации альдегидов, сивушного масла, сложных эфиров, объемной доли метилового спирта - по </w:t>
      </w:r>
      <w:r w:rsidRPr="00D0277E">
        <w:rPr>
          <w:rFonts w:ascii="Arial" w:hAnsi="Arial" w:cs="Arial"/>
          <w:color w:val="2D2D2D"/>
          <w:spacing w:val="1"/>
          <w:sz w:val="15"/>
          <w:szCs w:val="15"/>
        </w:rPr>
        <w:t>ГОСТ 31684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7.1 Этиловый спирт-сырец из пищевого сырья транспортируют всеми видами транспорта в соответствии с правилами перевозки опасных грузов, действующими на данном виде транспорта, и правилами перевозки жидких грузов наливом в вагонах-цистернах, действующими на железнодорожном транспорте.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Хранение этилового спирта-сырца из пищевого сырья - в соответствии с инструкцией по приемке, хранению, отпуску, транспортированию и учету этилового спирта,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0277E" w:rsidRDefault="00D0277E" w:rsidP="00D0277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Срок годности этилового спирта-сырца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УДК 661.722:006.354 МКС 67.160.10 Н74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Ключевые слова: спирт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этиловый-сырец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классификация, технические требования, опасный груз, упаковка, маркировка, транспортирование, хранение, легковоспламеняющаяся жидкость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Pr="00D0277E" w:rsidRDefault="0094145E" w:rsidP="00D0277E"/>
    <w:sectPr w:rsidR="0094145E" w:rsidRPr="00D0277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5E" w:rsidRDefault="0094145E" w:rsidP="007E5D19">
      <w:pPr>
        <w:spacing w:after="0" w:line="240" w:lineRule="auto"/>
      </w:pPr>
      <w:r>
        <w:separator/>
      </w:r>
    </w:p>
  </w:endnote>
  <w:endnote w:type="continuationSeparator" w:id="0">
    <w:p w:rsidR="0094145E" w:rsidRDefault="0094145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5E" w:rsidRDefault="0094145E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4145E" w:rsidRDefault="0094145E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5E" w:rsidRDefault="0094145E" w:rsidP="007E5D19">
      <w:pPr>
        <w:spacing w:after="0" w:line="240" w:lineRule="auto"/>
      </w:pPr>
      <w:r>
        <w:separator/>
      </w:r>
    </w:p>
  </w:footnote>
  <w:footnote w:type="continuationSeparator" w:id="0">
    <w:p w:rsidR="0094145E" w:rsidRDefault="0094145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15ABD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D6E61"/>
    <w:rsid w:val="006B6B83"/>
    <w:rsid w:val="007214CA"/>
    <w:rsid w:val="007E5D19"/>
    <w:rsid w:val="008E615F"/>
    <w:rsid w:val="0091318A"/>
    <w:rsid w:val="00940225"/>
    <w:rsid w:val="0094145E"/>
    <w:rsid w:val="0095551E"/>
    <w:rsid w:val="009D271E"/>
    <w:rsid w:val="00A22746"/>
    <w:rsid w:val="00A716F7"/>
    <w:rsid w:val="00A9165C"/>
    <w:rsid w:val="00AA6FD4"/>
    <w:rsid w:val="00B4381A"/>
    <w:rsid w:val="00BC7B61"/>
    <w:rsid w:val="00C91654"/>
    <w:rsid w:val="00CC4261"/>
    <w:rsid w:val="00CE3CDF"/>
    <w:rsid w:val="00D0277E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paragraph" w:customStyle="1" w:styleId="partialaccessparagraph">
    <w:name w:val="partialaccess_paragraph"/>
    <w:basedOn w:val="a"/>
    <w:rsid w:val="0011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07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3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10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73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700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43135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755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27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842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3783463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73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8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4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7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178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793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11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6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874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4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8183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8565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27730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1296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344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299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818822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46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1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5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9259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54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43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86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39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674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726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7818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07685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710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32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189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7567671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5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13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8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135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598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947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8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2017-09-26T06:36:00Z</dcterms:created>
  <dcterms:modified xsi:type="dcterms:W3CDTF">2017-09-26T06:36:00Z</dcterms:modified>
</cp:coreProperties>
</file>