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56" w:rsidRDefault="00064E56" w:rsidP="00064E5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1089-82 Сурьма. Технические условия (с Изменениями N 1, 2, 3, 4)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1089-82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064E56" w:rsidRDefault="00064E56" w:rsidP="00064E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064E56" w:rsidRDefault="00064E56" w:rsidP="00064E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СУРЬМА </w:t>
      </w:r>
    </w:p>
    <w:p w:rsidR="00064E56" w:rsidRPr="00064E56" w:rsidRDefault="00064E56" w:rsidP="00064E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064E5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064E56" w:rsidRPr="00064E56" w:rsidRDefault="00064E56" w:rsidP="00064E5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064E5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Antimony.</w:t>
      </w:r>
      <w:proofErr w:type="gramEnd"/>
      <w:r w:rsidRPr="00064E5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064E56" w:rsidRP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064E5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064E56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064E56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17 2630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1983-01-01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части п.6.9 1985-01-01</w:t>
      </w:r>
    </w:p>
    <w:p w:rsidR="00064E56" w:rsidRDefault="00064E56" w:rsidP="00064E5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17.02.82 N 705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1089-73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6"/>
        <w:gridCol w:w="5313"/>
      </w:tblGrid>
      <w:tr w:rsidR="00064E56" w:rsidTr="00064E56">
        <w:trPr>
          <w:trHeight w:val="15"/>
        </w:trPr>
        <w:tc>
          <w:tcPr>
            <w:tcW w:w="5544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</w:tr>
      <w:tr w:rsidR="00064E56" w:rsidTr="00064E5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064E56" w:rsidTr="00064E5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3.3; 3.4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12.3.009-76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12.4.011-89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3.7; 3.9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12.4.028-76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892-89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1367.0-83</w:t>
            </w:r>
            <w:r>
              <w:rPr>
                <w:color w:val="2D2D2D"/>
                <w:sz w:val="15"/>
                <w:szCs w:val="15"/>
              </w:rPr>
              <w:t> - </w:t>
            </w:r>
            <w:r w:rsidRPr="00064E56">
              <w:rPr>
                <w:color w:val="2D2D2D"/>
                <w:sz w:val="15"/>
                <w:szCs w:val="15"/>
              </w:rPr>
              <w:t>ГОСТ 1367.11-83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2228-81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2874-82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2991-85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6.2; 6.5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5556-81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5959-80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7933-89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6.1; 6.2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12026-76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6.6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17811-78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6.5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18293-72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20435-75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24231-80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5.2; 5.3; 5.4</w:t>
            </w:r>
          </w:p>
        </w:tc>
      </w:tr>
      <w:tr w:rsidR="00064E56" w:rsidTr="00064E56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64E56">
              <w:rPr>
                <w:color w:val="2D2D2D"/>
                <w:sz w:val="15"/>
                <w:szCs w:val="15"/>
              </w:rPr>
              <w:t>ГОСТ 30090-93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6.5</w:t>
            </w:r>
          </w:p>
        </w:tc>
      </w:tr>
    </w:tbl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 протоколу N 2-92 Межгосударственного Совета по стандартизации, метрологии и сертификации (ИУС 2-93)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ИЗДАНИЕ с Изменениями N 1, 2, 3, 4, утвержденными в октябре 1985 г., июне 1987 г., июне 1989 г., январе 1991 г. (ИУС 1-86, 11-87, 11-89, 5-91)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сурьму, применяемую в полупроводниковой и электронной технике, а также для изготовления сплавов, эмалей, керамических красителей и других целей, и устанавливает требования к сурьме, изготовляемой для нужд народного хозяйства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064E56" w:rsidRDefault="00064E56" w:rsidP="00064E5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Марки сурьмы и область ее применения приведены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0"/>
        <w:gridCol w:w="2522"/>
        <w:gridCol w:w="6067"/>
      </w:tblGrid>
      <w:tr w:rsidR="00064E56" w:rsidTr="00064E56">
        <w:trPr>
          <w:trHeight w:val="15"/>
        </w:trPr>
        <w:tc>
          <w:tcPr>
            <w:tcW w:w="2033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</w:tr>
      <w:tr w:rsidR="00064E56" w:rsidTr="00064E5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Марки сурьмы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Область применения</w:t>
            </w:r>
          </w:p>
        </w:tc>
      </w:tr>
      <w:tr w:rsidR="00064E56" w:rsidTr="00064E5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Су00000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17 2631 0001 10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полупроводниковой и электронной технике</w:t>
            </w:r>
          </w:p>
        </w:tc>
      </w:tr>
      <w:tr w:rsidR="00064E56" w:rsidTr="00064E56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Су0000П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17 2631 0006 05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полупроводниковой технике</w:t>
            </w:r>
          </w:p>
        </w:tc>
      </w:tr>
      <w:tr w:rsidR="00064E56" w:rsidTr="00064E56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17 2631 0002 09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электронной технике</w:t>
            </w:r>
          </w:p>
        </w:tc>
      </w:tr>
      <w:tr w:rsidR="00064E56" w:rsidTr="00064E56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17 2631 0003 08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изготовления сурьмы марки Су0000П и специальных припоев</w:t>
            </w:r>
          </w:p>
        </w:tc>
      </w:tr>
      <w:tr w:rsidR="00064E56" w:rsidTr="00064E56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17 2631 0004 07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изготовления припоев на оловянно-свинцовой основе, эмалей и керамических красителей</w:t>
            </w:r>
          </w:p>
        </w:tc>
      </w:tr>
      <w:tr w:rsidR="00064E56" w:rsidTr="00064E56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17 2631 0005 06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изготовления антифрикционных аккумуляторных и типографских сплавов, припоев на оловянно-свинцовой основе и сплавов для оболочек кабелей</w:t>
            </w:r>
          </w:p>
        </w:tc>
      </w:tr>
      <w:tr w:rsidR="00064E56" w:rsidTr="00064E56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17 2632 0001 05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изготовления антифрикционных, аккумуляторных, типографских сплавов и сплавов для оболочек кабелей</w:t>
            </w:r>
          </w:p>
        </w:tc>
      </w:tr>
      <w:tr w:rsidR="00064E56" w:rsidTr="00064E56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17 2632 0002 04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изготовления сурьмянистого свинца, антифрикционных сплавов и сплавов для оболочек кабелей и аккумуляторов общего назначения</w:t>
            </w:r>
          </w:p>
        </w:tc>
      </w:tr>
    </w:tbl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ТЕХНИЧЕСКИЕ ТРЕБОВАНИЯ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Сурьма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Химический состав сурьмы должен соответствовать нормам, указанным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0"/>
        <w:gridCol w:w="1003"/>
        <w:gridCol w:w="853"/>
        <w:gridCol w:w="1013"/>
        <w:gridCol w:w="993"/>
        <w:gridCol w:w="813"/>
        <w:gridCol w:w="976"/>
        <w:gridCol w:w="1018"/>
        <w:gridCol w:w="820"/>
        <w:gridCol w:w="995"/>
        <w:gridCol w:w="985"/>
      </w:tblGrid>
      <w:tr w:rsidR="00064E56" w:rsidTr="00064E56">
        <w:trPr>
          <w:trHeight w:val="15"/>
        </w:trPr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</w:tr>
      <w:tr w:rsidR="00064E56" w:rsidTr="00064E5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rPr>
                <w:sz w:val="24"/>
                <w:szCs w:val="24"/>
              </w:rPr>
            </w:pPr>
          </w:p>
        </w:tc>
        <w:tc>
          <w:tcPr>
            <w:tcW w:w="105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Сурьма, не менее</w:t>
            </w:r>
          </w:p>
        </w:tc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не более</w: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</w:tr>
      <w:tr w:rsidR="00064E56" w:rsidTr="00064E5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26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27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28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29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30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31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32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33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Су0000П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34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35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36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37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38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39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40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41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42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43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44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45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46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47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48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49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50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51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52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53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54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55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56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57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58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59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60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61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62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63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64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65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66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67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68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69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70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71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72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73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74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75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76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77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78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79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80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81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82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83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84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85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86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87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88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89" type="#_x0000_t75" alt="ГОСТ 1089-82 Сурьма. Технические условия (с Изменениями N 1, 2, 3, 4)" style="width:12.9pt;height:17.2pt"/>
              </w:pict>
            </w:r>
          </w:p>
        </w:tc>
      </w:tr>
    </w:tbl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Продолжение табл.2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8"/>
        <w:gridCol w:w="850"/>
        <w:gridCol w:w="821"/>
        <w:gridCol w:w="858"/>
        <w:gridCol w:w="1030"/>
        <w:gridCol w:w="1007"/>
        <w:gridCol w:w="691"/>
        <w:gridCol w:w="859"/>
        <w:gridCol w:w="993"/>
        <w:gridCol w:w="848"/>
        <w:gridCol w:w="1514"/>
      </w:tblGrid>
      <w:tr w:rsidR="00064E56" w:rsidTr="00064E56">
        <w:trPr>
          <w:trHeight w:val="15"/>
        </w:trPr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64E56" w:rsidRDefault="00064E56">
            <w:pPr>
              <w:rPr>
                <w:sz w:val="2"/>
                <w:szCs w:val="24"/>
              </w:rPr>
            </w:pPr>
          </w:p>
        </w:tc>
      </w:tr>
      <w:tr w:rsidR="00064E56" w:rsidTr="00064E5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rPr>
                <w:sz w:val="24"/>
                <w:szCs w:val="24"/>
              </w:rPr>
            </w:pP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rPr>
                <w:sz w:val="24"/>
                <w:szCs w:val="24"/>
              </w:rPr>
            </w:pP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Селен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Натрий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Теллур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нормируемых примесей, %</w:t>
            </w:r>
          </w:p>
        </w:tc>
      </w:tr>
      <w:tr w:rsidR="00064E56" w:rsidTr="00064E5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90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91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92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93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94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9,20·10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95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Су0000П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96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97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98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099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00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01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02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03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04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5,12·10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05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Су0000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06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07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08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09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10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8,50·10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11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12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13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14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15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16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4,10·10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17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18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9,76·10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19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20" type="#_x0000_t75" alt="ГОСТ 1089-82 Сурьма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3,37·10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21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4,80·10</w:t>
            </w:r>
            <w:r w:rsidR="00844399" w:rsidRPr="00844399">
              <w:rPr>
                <w:color w:val="2D2D2D"/>
                <w:sz w:val="15"/>
                <w:szCs w:val="15"/>
              </w:rPr>
              <w:pict>
                <v:shape id="_x0000_i1122" type="#_x0000_t75" alt="ГОСТ 1089-82 Сурьма. Технические условия (с Изменениями N 1, 2, 3, 4)" style="width:12.9pt;height:17.2pt"/>
              </w:pict>
            </w:r>
          </w:p>
        </w:tc>
      </w:tr>
      <w:tr w:rsidR="00064E56" w:rsidTr="00064E56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64E56" w:rsidRDefault="00064E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1,12</w:t>
            </w:r>
          </w:p>
        </w:tc>
      </w:tr>
    </w:tbl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В сурьме марки Су000 для производства сурьмы высокой чистоты марки Су0000П массовая доля мышьяка должна быть не более 6·10</w:t>
      </w:r>
      <w:r w:rsidR="00844399" w:rsidRPr="0084439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1089-82 Сурьма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В сурьме марки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изготовления сплавов, применяемых в специальных аккумуляторах, содержание золота не должно превышать 2·10</w:t>
      </w:r>
      <w:r w:rsidR="00844399" w:rsidRPr="0084439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1089-82 Сурьма. Технические условия (с Изменениями N 1, 2, 3, 4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Для изготовления сплавов на свинцовой основе в сурьме марок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Су2 допускается увеличение массовой доли свинца, олова и мышьяка за счет уменьшения массовой доли сурьмы.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Сурьма марки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изготовляется электролитным способом производства.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Сурьму марок Су00000, Су0000, Су000 изготовляют в слитках массой от 0,5 до 4,0 кг. Сурьму марки Су0000П изготовляют слитками массой не более 2 кг. Сурьму марок Су00,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Су2 изготовляют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массой 15-25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Сурьму марки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изготовляют в виде чешуйчатых пластин размером до 70 мм и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массой 15-25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изготовителя с потребителем допускается изготовление сурьмы в слитках иной формы и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Поверхность слитков сурьмы марок Су00000, Су0000П, Су0000, Су000 должна быть чистой, без видимых инородных включений.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поверхности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сурьмы марок Су00,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Су1 и Су2 допускаются шлаковые включения размером не более 4 мм и пористость.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Содержание влаги в сурьме марки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выпускаемой в виде чешуйчатых пластин, должно быть не более 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ТРЕБОВАНИЯ БЕЗОПАСНОСТИ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Аэрозоль металлической сурьмы относится ко 2-му классу опасности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Вдыхание аэрозоля металлической сурьмы вызывает раздражение органов дыхания, пищеварения, слизистых оболочек глаз. Возможны аллергические заболевания кожи. Длительное воздействие аэрозоля на организм может вызвать заболевание легких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антимонокониоз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не прогрессирующий после прекращения контакта с аэрозолями сурьмы, поражение сосудов, нервной системы, нарушение обменных процессов в организме.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Предельно допустимая концентрация в воздухе рабочей зоны для аэрозоля сурьмы - 0,5 мг/м</w:t>
      </w:r>
      <w:r w:rsidR="00844399" w:rsidRPr="0084439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1089-82 Сурьма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среднесменная - 0,2 мг/м</w:t>
      </w:r>
      <w:r w:rsidR="00844399" w:rsidRPr="0084439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1089-82 Сурьма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для свинца - 0,01 мг/м</w:t>
      </w:r>
      <w:r w:rsidR="00844399" w:rsidRPr="0084439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1089-82 Сурьма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среднесменная - 0,007 мг/м</w:t>
      </w:r>
      <w:r w:rsidR="00844399" w:rsidRPr="0084439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1089-82 Сурьма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для никеля - 0,05 мг/м</w:t>
      </w:r>
      <w:r w:rsidR="00844399" w:rsidRPr="0084439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1089-82 Сурьма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Предельно допустимая концентрация свинца в питьевой воде - 0,1 мг/дм</w:t>
      </w:r>
      <w:r w:rsidR="00844399" w:rsidRPr="00844399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1089-82 Сурьма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2874</w:t>
      </w:r>
      <w:r>
        <w:rPr>
          <w:rFonts w:ascii="Arial" w:hAnsi="Arial" w:cs="Arial"/>
          <w:color w:val="2D2D2D"/>
          <w:spacing w:val="1"/>
          <w:sz w:val="15"/>
          <w:szCs w:val="15"/>
        </w:rPr>
        <w:t>*.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064E56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064E56">
        <w:rPr>
          <w:rFonts w:ascii="Arial" w:hAnsi="Arial" w:cs="Arial"/>
          <w:color w:val="2D2D2D"/>
          <w:spacing w:val="1"/>
          <w:sz w:val="15"/>
          <w:szCs w:val="15"/>
        </w:rPr>
        <w:t xml:space="preserve"> 5123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064E56">
        <w:rPr>
          <w:rFonts w:ascii="Arial" w:hAnsi="Arial" w:cs="Arial"/>
          <w:color w:val="2D2D2D"/>
          <w:spacing w:val="1"/>
          <w:sz w:val="15"/>
          <w:szCs w:val="15"/>
        </w:rPr>
        <w:t>2-98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вредных веществ в воздухе рабочей зоны необходимо осуществлять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в питьевой воде -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18293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Удаление пыли металлической сурьмы необходимо проводить пневматическими устройствами типа пылесосов. Утилизацию собранной пыли должны проводить возвращением ее в производственный цикл для повторной переработки.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 Металлическая сурьма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Средства коллективной защиты - нормализация воздушной среды производственных помещений и рабочих мест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12.4.011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Помещения, в которых проводят работы, связанные с выделением пыли металлической сурьмы, должны быть оборудованы приточно-вытяжной вентиляцией согласно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12.4.021</w:t>
      </w:r>
      <w:r>
        <w:rPr>
          <w:rFonts w:ascii="Arial" w:hAnsi="Arial" w:cs="Arial"/>
          <w:color w:val="2D2D2D"/>
          <w:spacing w:val="1"/>
          <w:sz w:val="15"/>
          <w:szCs w:val="15"/>
        </w:rPr>
        <w:t>, кроме предприятий, осуществляющих длительное хранение сурьмы.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Воздух, удаляемый вентиляционными системами, содержащий вредные вещества, перед выбросом в атмосферу подлежит очистке согласно СН 245-75*.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proofErr w:type="spellStart"/>
      <w:r w:rsidRPr="00064E56">
        <w:rPr>
          <w:rFonts w:ascii="Arial" w:hAnsi="Arial" w:cs="Arial"/>
          <w:color w:val="2D2D2D"/>
          <w:spacing w:val="1"/>
          <w:sz w:val="15"/>
          <w:szCs w:val="15"/>
        </w:rPr>
        <w:t>СанПиН</w:t>
      </w:r>
      <w:proofErr w:type="spellEnd"/>
      <w:r w:rsidRPr="00064E56">
        <w:rPr>
          <w:rFonts w:ascii="Arial" w:hAnsi="Arial" w:cs="Arial"/>
          <w:color w:val="2D2D2D"/>
          <w:spacing w:val="1"/>
          <w:sz w:val="15"/>
          <w:szCs w:val="15"/>
        </w:rPr>
        <w:t xml:space="preserve"> 2.2.1/2.1.1.1200-03.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="00665264"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Работающие с сурьмой должны обеспечиваться средствами индивидуальной защиты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12.4.011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12.4.028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в соответствии с "Типовыми отраслевыми нормами выдачи спецодежды,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спецобуви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предохранительных приспособлений рабочим и служащим предприятий цветной металлургии".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3.10, 3.11.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Погрузочно-разгрузочные работы должны проводиться в соответствии с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12.3.009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ПРАВИЛА ПРИЕМКИ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слитки и пластины сурьмы принимают партиями. Партия сурьмы марок Су00000, Су0000П, Су0000, Су000 должна состоять из одного или нескольких слитков или частей слитков одной марки общей массой до 15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кг, полученных по единой технологии на однотипном оборудовании и сопровождается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одним документом о качестве. Партия сурьмы марок Су00,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Су1 и Су2 должна состоять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пластин одной марки, одного вида изготовления, одной плавки общей массой до 20 т и оформлена одним документом о качестве. 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количество грузовых мест;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брутто и 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химического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 партии и дату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клеймо отдела технического контроля или подпись контролера (начальника) ОТК;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Партия электролитной сурьмы в виде чешуйчатых пластин должна состоять из электролитного металла разового съема.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Сопроводительная документация на сурьму для экспорта оформляется в соответствии с требованиями внешнеэкономического объединения.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 Проверке внешнего вида подвергается 5%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партии или каждый слиток.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Для проверки химического состава сурьмы в виде слитков или части его пробы отбирают от каждого слитка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проверки химического состава сурьмы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партии отбирают каждую двадцатую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но не менее чем три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На предприятии-изготовителе допускается проверку химического состава проводить на пробных слитках при розливе каждой двадцатой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проверки химического состава сурьмы в виде чешуйчатых пластин отбирают каждую десятую единицу упаковки, но не менее чем три единицы упаковки.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Содержание примесей висмута, золота, кадмия, магния, марганца, мышьяка, натрия, никеля, свинца, серебра, серы, селена, цинка, меди и железа в сурьме марки Су0000П и марки Су0000, кроме содержания селена и магния, определяется периодически - один раз в квартал.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Содержание цинка, висмута, золота в сурьме марок Су00,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Су2 и никеля в сурьме марок Су00, Су0 определяется периодически - один раз в квартал.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При получении неудовлетворительных результатов испытания хотя бы по одному из показателей по нему проводят повторные испытания на удвоенной выборке, взятой от той же партии.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МЕТОДЫ ИСПЫТАНИЙ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Проверка внешнего вида сурьмы проводится осмотром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Химический состав определяют анализом объединенной пробы, составленной из точечных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Точечные пробы от сурьмы в виде слитков отбирают откалыванием со стороны излома. Объединенная проба состоит из точечных проб, отобранных от каждого слитка (части слитка). Масса объединенной пробы должна быть не менее 20 г (или не менее 40 г при проведении периодического контроля по п.4.4).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Объединенную пробу сурьмы марок Су00000, Су0000П, Су0000, Су000 измельчают в яшмовой, агатовой ступке или ступке из органического стекла, перемешивают и готовят для химического анализа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Отбор точечных проб от сурьмы в виде чешуек и чешуйчатых пластин проводят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объединенной пробы должна быть не менее 400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Пробы сурьмы всех марок, предназначенные для анализа или хранения, упаковывают в пакеты из полиэтиленовой пленки или в банки, снабженные этикеткой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Химический анализ сурьмы всех марок проводят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1367.0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1367.11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УПАКОВКА, МАРКИРОВКА, ТРАНСПОРТИРОВАНИЕ И ХРАНЕНИЕ</w:t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Каждый слиток сурьмы марки Су0000П помещают в двойной пакет из полиэтиленовой пленки -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который заваривают. Пакет со слитком заворачивают в кальку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892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в фильтровальную бумагу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12026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Сурьму марки Су0000П упаковывают в ящики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5959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мягкими прокладками. Масса брутто одного ящика должна быть не более 10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Каждый слиток сурьмы марок Су00000, Су0000, Су000 помещают в пакет из полиэтиленовой пленки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color w:val="2D2D2D"/>
          <w:spacing w:val="1"/>
          <w:sz w:val="15"/>
          <w:szCs w:val="15"/>
        </w:rPr>
        <w:t>. Каждый пакет со слитком упаковывают в коробку из картона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7933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мягкими прокладками из поролона или ваты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5556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Коробки со слитками, упаковывают в плотные деревянные ящики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, тип II-2, выстланные бумагой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2228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в контейнеры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20435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груза одного ящика должна быть не более 50 кг. Допускается упаковка в один ящик нескольких партий.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Допускается упаковка сурьмы марок Су0000, Су000 по п.6.1.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6.1, 6.2.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На лицевой стороне коробки наклеивают или между слоями полиэтиленового пакета вкладывают этикетку, в которой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клеймо технического контроля или подпись контролера ОТК;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6.4. На каждой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сурьмы марок Су00,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Су1 и Су2 должна быть обозначена марка сурьмы, номер партии и товарный знак предприятия-изготовителя.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6.5.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сурьмы марок Су00,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Су1 и Су2 не упаковывают. Допускается по согласованию изготовителя с потребителем упаковывать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сурьмы в плотные деревянные ящики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Сурьму марки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виде чешуйчатых пластин помещают в двойную тару: полиэтиленовые мешки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17811</w:t>
      </w:r>
      <w:r>
        <w:rPr>
          <w:rFonts w:ascii="Arial" w:hAnsi="Arial" w:cs="Arial"/>
          <w:color w:val="2D2D2D"/>
          <w:spacing w:val="1"/>
          <w:sz w:val="15"/>
          <w:szCs w:val="15"/>
        </w:rPr>
        <w:t>, вложенные в полипропиленовые мешки, изготовленные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30090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6.4, 6.5.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Масса брутто одного мешка не более 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изготовителя с потребителем допускается транспортировать сурьму марок Су00, Су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Су1 и Су2 без упаковки в контейнерах.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6.6. Транспортная маркировка - по </w:t>
      </w:r>
      <w:r w:rsidRPr="00064E56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6.8. Сурьму, упакованную по пп.6.1; 6.2 и 6.5, транспортируют любым видом транспорта: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крытых вагонах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мелкими отправлениями;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контейнерах - в открытом подвижном составе.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сурьму, упакованную по пп.6.1 и 6.2, транспортировать почтовыми посылками.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6.9. Транспортирование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сурьмы всех марок проводят транспортными пакетами в соответствии с требованиями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6.10. Сурьма должна храниться в крытых помещениях, исключающих потери металла, загрязнение, попадание влаги, паров кислот и других агрессивных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соблюдении указанных условий хранения потребительские свойства сурьмы при хранении не меняются.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сурьмы, предназначенной для длительного хранения, на ящике должна быть нанесена выжиганием или несмываемой краской маркировка с указанием реквизитов, перечисленных в п.6.3.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64E56" w:rsidRDefault="00064E56" w:rsidP="00064E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6.8-6.10.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7D" w:rsidRDefault="00B3337D" w:rsidP="007E5D19">
      <w:pPr>
        <w:spacing w:after="0" w:line="240" w:lineRule="auto"/>
      </w:pPr>
      <w:r>
        <w:separator/>
      </w:r>
    </w:p>
  </w:endnote>
  <w:endnote w:type="continuationSeparator" w:id="0">
    <w:p w:rsidR="00B3337D" w:rsidRDefault="00B3337D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4439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7D" w:rsidRDefault="00B3337D" w:rsidP="007E5D19">
      <w:pPr>
        <w:spacing w:after="0" w:line="240" w:lineRule="auto"/>
      </w:pPr>
      <w:r>
        <w:separator/>
      </w:r>
    </w:p>
  </w:footnote>
  <w:footnote w:type="continuationSeparator" w:id="0">
    <w:p w:rsidR="00B3337D" w:rsidRDefault="00B3337D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6712D7"/>
    <w:multiLevelType w:val="multilevel"/>
    <w:tmpl w:val="E41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9E17D5"/>
    <w:multiLevelType w:val="multilevel"/>
    <w:tmpl w:val="147A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866C2"/>
    <w:multiLevelType w:val="multilevel"/>
    <w:tmpl w:val="BF14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02E32"/>
    <w:multiLevelType w:val="multilevel"/>
    <w:tmpl w:val="BE00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E37DA"/>
    <w:multiLevelType w:val="multilevel"/>
    <w:tmpl w:val="A698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F5638"/>
    <w:multiLevelType w:val="multilevel"/>
    <w:tmpl w:val="BD5E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131668"/>
    <w:multiLevelType w:val="multilevel"/>
    <w:tmpl w:val="831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6F09C8"/>
    <w:multiLevelType w:val="multilevel"/>
    <w:tmpl w:val="D9DA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5"/>
  </w:num>
  <w:num w:numId="5">
    <w:abstractNumId w:val="18"/>
  </w:num>
  <w:num w:numId="6">
    <w:abstractNumId w:val="14"/>
  </w:num>
  <w:num w:numId="7">
    <w:abstractNumId w:val="13"/>
  </w:num>
  <w:num w:numId="8">
    <w:abstractNumId w:val="6"/>
  </w:num>
  <w:num w:numId="9">
    <w:abstractNumId w:val="20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11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  <w:num w:numId="21">
    <w:abstractNumId w:val="26"/>
  </w:num>
  <w:num w:numId="22">
    <w:abstractNumId w:val="17"/>
  </w:num>
  <w:num w:numId="23">
    <w:abstractNumId w:val="7"/>
  </w:num>
  <w:num w:numId="24">
    <w:abstractNumId w:val="3"/>
  </w:num>
  <w:num w:numId="25">
    <w:abstractNumId w:val="15"/>
  </w:num>
  <w:num w:numId="26">
    <w:abstractNumId w:val="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64E56"/>
    <w:rsid w:val="000C34D1"/>
    <w:rsid w:val="000E11B6"/>
    <w:rsid w:val="00144A40"/>
    <w:rsid w:val="00153F83"/>
    <w:rsid w:val="001741CA"/>
    <w:rsid w:val="00177C25"/>
    <w:rsid w:val="0019264F"/>
    <w:rsid w:val="002D3ACA"/>
    <w:rsid w:val="00313072"/>
    <w:rsid w:val="00362C0C"/>
    <w:rsid w:val="003D53F9"/>
    <w:rsid w:val="003F7A45"/>
    <w:rsid w:val="00477A04"/>
    <w:rsid w:val="0059308D"/>
    <w:rsid w:val="00665264"/>
    <w:rsid w:val="006B6B83"/>
    <w:rsid w:val="007214CA"/>
    <w:rsid w:val="007E5D19"/>
    <w:rsid w:val="00844399"/>
    <w:rsid w:val="008E615F"/>
    <w:rsid w:val="0095551E"/>
    <w:rsid w:val="00A716F7"/>
    <w:rsid w:val="00A9165C"/>
    <w:rsid w:val="00AA6FD4"/>
    <w:rsid w:val="00B3337D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59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26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97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606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255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80697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560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053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766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0440651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3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1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888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9272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83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778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2017-08-10T11:40:00Z</dcterms:created>
  <dcterms:modified xsi:type="dcterms:W3CDTF">2017-08-15T16:22:00Z</dcterms:modified>
</cp:coreProperties>
</file>